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2311" w14:textId="77777777" w:rsidR="000701E4" w:rsidRPr="00F14DFD" w:rsidRDefault="000701E4" w:rsidP="000701E4">
      <w:pPr>
        <w:tabs>
          <w:tab w:val="left" w:pos="964"/>
          <w:tab w:val="left" w:pos="1304"/>
          <w:tab w:val="left" w:pos="1644"/>
          <w:tab w:val="left" w:pos="1985"/>
          <w:tab w:val="left" w:pos="2325"/>
        </w:tabs>
        <w:spacing w:before="120" w:after="0" w:line="240" w:lineRule="auto"/>
        <w:jc w:val="center"/>
        <w:rPr>
          <w:rFonts w:ascii="Times New Roman" w:eastAsia="Calibri" w:hAnsi="Times New Roman" w:cs="Times New Roman"/>
          <w:b/>
          <w:bCs/>
          <w:sz w:val="24"/>
          <w:szCs w:val="24"/>
        </w:rPr>
      </w:pPr>
      <w:r w:rsidRPr="00F14DFD">
        <w:rPr>
          <w:rFonts w:ascii="Times New Roman" w:eastAsia="Calibri" w:hAnsi="Times New Roman" w:cs="Times New Roman"/>
          <w:b/>
          <w:bCs/>
          <w:sz w:val="24"/>
          <w:szCs w:val="24"/>
        </w:rPr>
        <w:t>Pakiet informacyjny dot</w:t>
      </w:r>
      <w:r>
        <w:rPr>
          <w:rFonts w:ascii="Times New Roman" w:eastAsia="Calibri" w:hAnsi="Times New Roman" w:cs="Times New Roman"/>
          <w:b/>
          <w:bCs/>
          <w:sz w:val="24"/>
          <w:szCs w:val="24"/>
        </w:rPr>
        <w:t>yczący</w:t>
      </w:r>
      <w:r w:rsidRPr="00F14DFD">
        <w:rPr>
          <w:rFonts w:ascii="Times New Roman" w:eastAsia="Calibri" w:hAnsi="Times New Roman" w:cs="Times New Roman"/>
          <w:b/>
          <w:bCs/>
          <w:sz w:val="24"/>
          <w:szCs w:val="24"/>
        </w:rPr>
        <w:t xml:space="preserve"> wskaźników referencyjnych</w:t>
      </w:r>
    </w:p>
    <w:p w14:paraId="34F12974" w14:textId="77777777" w:rsidR="000701E4"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p>
    <w:p w14:paraId="22D01EBC"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F14DFD">
        <w:rPr>
          <w:rFonts w:ascii="Times New Roman" w:eastAsia="Calibri" w:hAnsi="Times New Roman" w:cs="Times New Roman"/>
          <w:b/>
          <w:sz w:val="24"/>
          <w:szCs w:val="24"/>
        </w:rPr>
        <w:t>Informacje ogólne dotyczące Rozporządzenia BMR oraz wskaźników referencyjnych</w:t>
      </w:r>
    </w:p>
    <w:p w14:paraId="2537D2BD"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Niniejszy dokument został sporządzony w związku z reformą wskaźników referencyjnych na mocy przepisów Rozporządzenia BMR</w:t>
      </w:r>
      <w:r w:rsidRPr="00F14DFD">
        <w:rPr>
          <w:rStyle w:val="Odwoanieprzypisudolnego"/>
          <w:rFonts w:ascii="Times New Roman" w:eastAsia="Calibri" w:hAnsi="Times New Roman" w:cs="Times New Roman"/>
          <w:sz w:val="24"/>
          <w:szCs w:val="24"/>
        </w:rPr>
        <w:footnoteReference w:id="1"/>
      </w:r>
      <w:r w:rsidRPr="00F14DFD">
        <w:rPr>
          <w:rFonts w:ascii="Times New Roman" w:eastAsia="Calibri" w:hAnsi="Times New Roman" w:cs="Times New Roman"/>
          <w:sz w:val="24"/>
          <w:szCs w:val="24"/>
        </w:rPr>
        <w:t>. Rozporządzenie BMR stosuje się bezpośrednio w Polsce od dnia 1.01.2018</w:t>
      </w:r>
      <w:r>
        <w:rPr>
          <w:rFonts w:ascii="Times New Roman" w:eastAsia="Calibri" w:hAnsi="Times New Roman" w:cs="Times New Roman"/>
          <w:sz w:val="24"/>
          <w:szCs w:val="24"/>
        </w:rPr>
        <w:t xml:space="preserve"> r</w:t>
      </w:r>
      <w:r w:rsidRPr="00F14DFD">
        <w:rPr>
          <w:rFonts w:ascii="Times New Roman" w:eastAsia="Calibri" w:hAnsi="Times New Roman" w:cs="Times New Roman"/>
          <w:sz w:val="24"/>
          <w:szCs w:val="24"/>
        </w:rPr>
        <w:t xml:space="preserve">. </w:t>
      </w:r>
    </w:p>
    <w:p w14:paraId="699C583A" w14:textId="77777777" w:rsidR="000701E4"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p>
    <w:p w14:paraId="2DF1926C"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Zastosowanie wskaźników referencyjnych </w:t>
      </w:r>
    </w:p>
    <w:p w14:paraId="278AFB8C"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F14DFD">
        <w:rPr>
          <w:rFonts w:ascii="Times New Roman" w:eastAsia="Calibri" w:hAnsi="Times New Roman" w:cs="Times New Roman"/>
          <w:sz w:val="24"/>
          <w:szCs w:val="24"/>
        </w:rPr>
        <w:t xml:space="preserve">luczowe wskaźniki referencyjne stóp procentowych </w:t>
      </w:r>
      <w:r>
        <w:rPr>
          <w:rFonts w:ascii="Times New Roman" w:eastAsia="Calibri" w:hAnsi="Times New Roman" w:cs="Times New Roman"/>
          <w:sz w:val="24"/>
          <w:szCs w:val="24"/>
        </w:rPr>
        <w:t>np.</w:t>
      </w:r>
      <w:r w:rsidRPr="00F14DFD">
        <w:rPr>
          <w:rFonts w:ascii="Times New Roman" w:eastAsia="Calibri" w:hAnsi="Times New Roman" w:cs="Times New Roman"/>
          <w:sz w:val="24"/>
          <w:szCs w:val="24"/>
        </w:rPr>
        <w:t xml:space="preserve"> EURIBOR WIBOR, stanowią istotny element międzynarodowych rynków finansowych. Wskaźniki te służą do pomiaru rzeczywistości rynkowej i gospodarczej, na podstawie której określa się wysokość </w:t>
      </w:r>
      <w:r>
        <w:rPr>
          <w:rFonts w:ascii="Times New Roman" w:eastAsia="Calibri" w:hAnsi="Times New Roman" w:cs="Times New Roman"/>
          <w:sz w:val="24"/>
          <w:szCs w:val="24"/>
        </w:rPr>
        <w:t xml:space="preserve">zobowiązań </w:t>
      </w:r>
      <w:r w:rsidRPr="00F14DFD">
        <w:rPr>
          <w:rFonts w:ascii="Times New Roman" w:eastAsia="Calibri" w:hAnsi="Times New Roman" w:cs="Times New Roman"/>
          <w:sz w:val="24"/>
          <w:szCs w:val="24"/>
        </w:rPr>
        <w:t>finansowych stron umów opartych na zmiennej stopie procentowej. Dotyczy to transakcji finansowych takich jak np. kredyty, depozyty, instrumenty pochodne, obligacje i produkty strukturyzowane. W przypadku kredytów, naliczane odsetki, zależne są od wskaźników referencyjnych, stanowiących zmienny element umowy oraz od marży, stanowiącej najczęściej stały element umowy.</w:t>
      </w:r>
    </w:p>
    <w:p w14:paraId="19E0FA2F" w14:textId="77777777" w:rsidR="000701E4"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 xml:space="preserve">Wartości wskaźników referencyjnych wyznaczane są w sposób niezależny od </w:t>
      </w:r>
      <w:r w:rsidRPr="00A0444D">
        <w:rPr>
          <w:rFonts w:ascii="Times New Roman" w:eastAsia="Calibri" w:hAnsi="Times New Roman" w:cs="Times New Roman"/>
          <w:b/>
          <w:sz w:val="24"/>
          <w:szCs w:val="24"/>
        </w:rPr>
        <w:t>Rejonowego Banku Spółdzielczego w Malanowie</w:t>
      </w:r>
      <w:r>
        <w:rPr>
          <w:rFonts w:ascii="Times New Roman" w:eastAsia="Calibri" w:hAnsi="Times New Roman" w:cs="Times New Roman"/>
          <w:sz w:val="24"/>
          <w:szCs w:val="24"/>
        </w:rPr>
        <w:t xml:space="preserve"> </w:t>
      </w:r>
      <w:r w:rsidRPr="00F14DFD">
        <w:rPr>
          <w:rFonts w:ascii="Times New Roman" w:eastAsia="Calibri" w:hAnsi="Times New Roman" w:cs="Times New Roman"/>
          <w:sz w:val="24"/>
          <w:szCs w:val="24"/>
        </w:rPr>
        <w:t xml:space="preserve">przez </w:t>
      </w:r>
      <w:r>
        <w:rPr>
          <w:rFonts w:ascii="Times New Roman" w:eastAsia="Calibri" w:hAnsi="Times New Roman" w:cs="Times New Roman"/>
          <w:sz w:val="24"/>
          <w:szCs w:val="24"/>
        </w:rPr>
        <w:t xml:space="preserve">podmioty zwane </w:t>
      </w:r>
      <w:r w:rsidRPr="00F14DFD">
        <w:rPr>
          <w:rFonts w:ascii="Times New Roman" w:eastAsia="Calibri" w:hAnsi="Times New Roman" w:cs="Times New Roman"/>
          <w:sz w:val="24"/>
          <w:szCs w:val="24"/>
        </w:rPr>
        <w:t>administrator</w:t>
      </w:r>
      <w:r>
        <w:rPr>
          <w:rFonts w:ascii="Times New Roman" w:eastAsia="Calibri" w:hAnsi="Times New Roman" w:cs="Times New Roman"/>
          <w:sz w:val="24"/>
          <w:szCs w:val="24"/>
        </w:rPr>
        <w:t>ami</w:t>
      </w:r>
      <w:r w:rsidRPr="00F14DFD">
        <w:rPr>
          <w:rFonts w:ascii="Times New Roman" w:eastAsia="Calibri" w:hAnsi="Times New Roman" w:cs="Times New Roman"/>
          <w:sz w:val="24"/>
          <w:szCs w:val="24"/>
        </w:rPr>
        <w:t xml:space="preserve"> danych stawek i według określonej przez nich metodologii pod nadzorem właściwego organu nadzoru. Dany wskaźnik referencyjny publikowany jest przez podmiot administratora, który uzyskał stosowne zezwolenie na pełnienie takiej funkcji przez organ nadzoru bądź korzysta z okresu przejściowego na dostosowanie swojej stawki referencyjnej do wymogów Rozporządzania BMR. </w:t>
      </w:r>
    </w:p>
    <w:p w14:paraId="66EAAC1F" w14:textId="77777777" w:rsidR="000701E4"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p>
    <w:p w14:paraId="53DA134D" w14:textId="77777777" w:rsidR="000701E4"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50664E">
        <w:rPr>
          <w:rFonts w:ascii="Times New Roman" w:eastAsia="Calibri" w:hAnsi="Times New Roman" w:cs="Times New Roman"/>
          <w:b/>
          <w:sz w:val="24"/>
          <w:szCs w:val="24"/>
        </w:rPr>
        <w:t>Administratorzy i wymogi prawne</w:t>
      </w:r>
    </w:p>
    <w:p w14:paraId="70235C58" w14:textId="77777777" w:rsidR="000701E4"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50664E">
        <w:rPr>
          <w:rFonts w:ascii="Times New Roman" w:eastAsia="Calibri" w:hAnsi="Times New Roman" w:cs="Times New Roman"/>
          <w:sz w:val="24"/>
          <w:szCs w:val="24"/>
        </w:rPr>
        <w:t xml:space="preserve">Administratorzy oraz podmioty przekazujące dane administratorom na potrzeby takiego opracowywania, muszą spełnić szereg wymogów przewidzianych w Rozporządzeniu BMR. Celem tych wymogów jest zapewnienie wysokiej wiarygodności wskaźników referencyjnych, oraz zapobieganie manipulacjom nimi. </w:t>
      </w:r>
    </w:p>
    <w:p w14:paraId="179A80FA" w14:textId="77777777" w:rsidR="000701E4"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p>
    <w:p w14:paraId="1D52A49B" w14:textId="77777777" w:rsidR="000701E4" w:rsidRPr="0050664E"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50664E">
        <w:rPr>
          <w:rFonts w:ascii="Times New Roman" w:eastAsia="Calibri" w:hAnsi="Times New Roman" w:cs="Times New Roman"/>
          <w:b/>
          <w:sz w:val="24"/>
          <w:szCs w:val="24"/>
        </w:rPr>
        <w:t>Metodologia opracowywania wskaźników referencyjnych</w:t>
      </w:r>
    </w:p>
    <w:p w14:paraId="0681811D"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Administratorzy </w:t>
      </w:r>
      <w:r w:rsidRPr="00F14DFD">
        <w:rPr>
          <w:rFonts w:ascii="Times New Roman" w:eastAsia="Calibri" w:hAnsi="Times New Roman" w:cs="Times New Roman"/>
          <w:sz w:val="24"/>
          <w:szCs w:val="24"/>
        </w:rPr>
        <w:t>opracowują metodologię, która ma służyć precyzyjnemu i adekwatnemu wyznaczaniu wartości</w:t>
      </w:r>
      <w:r>
        <w:rPr>
          <w:rFonts w:ascii="Times New Roman" w:eastAsia="Calibri" w:hAnsi="Times New Roman" w:cs="Times New Roman"/>
          <w:sz w:val="24"/>
          <w:szCs w:val="24"/>
        </w:rPr>
        <w:t xml:space="preserve"> wskaźnika referencyjnego</w:t>
      </w:r>
      <w:r w:rsidRPr="00F14DFD">
        <w:rPr>
          <w:rFonts w:ascii="Times New Roman" w:eastAsia="Calibri" w:hAnsi="Times New Roman" w:cs="Times New Roman"/>
          <w:sz w:val="24"/>
          <w:szCs w:val="24"/>
        </w:rPr>
        <w:t>. Wartość ta, jest odwzorowaniem pewnej rzeczywistości rynkowej i ekonomicznej, którą wskaźnik referencyjny ma mierzyć, a uzyskuje się ją dzięki pomiarowi rynku bazowego właściwego dla danego wskaźnika. Wartość uzyskana w ten sposób może być podatna na zmiany zachodzące w realiach rynkowych.</w:t>
      </w:r>
    </w:p>
    <w:p w14:paraId="3142EEDB"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 xml:space="preserve">Administrator ma obowiązek tak dobierać metodologię opracowywania wskaźnika referencyjnego, aby była ona zgodna z przepisami prawa, w szczególności, aby pomiar rynku bazowego był jak najbardziej adekwatny, dokładny i zgodny z realiami, a informacje na podstawie których następuje wyliczenie, były sprawdzalne oraz rzetelnie przekazane. </w:t>
      </w:r>
    </w:p>
    <w:p w14:paraId="6FD21FAC"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 xml:space="preserve">Jednym z obowiązków </w:t>
      </w:r>
      <w:r>
        <w:rPr>
          <w:rFonts w:ascii="Times New Roman" w:eastAsia="Calibri" w:hAnsi="Times New Roman" w:cs="Times New Roman"/>
          <w:sz w:val="24"/>
          <w:szCs w:val="24"/>
        </w:rPr>
        <w:t>administratora</w:t>
      </w:r>
      <w:r w:rsidRPr="00F14DFD">
        <w:rPr>
          <w:rFonts w:ascii="Times New Roman" w:eastAsia="Calibri" w:hAnsi="Times New Roman" w:cs="Times New Roman"/>
          <w:sz w:val="24"/>
          <w:szCs w:val="24"/>
        </w:rPr>
        <w:t xml:space="preserve">, jest zapewnienie aby metoda używana do jego wyznaczania była adekwatna do mierzenia danego rynku bazowego, zgodna z przepisami prawa, wymogami organów nadzoru oraz dostosowana do zmieniających się warunków </w:t>
      </w:r>
      <w:r w:rsidRPr="00F14DFD">
        <w:rPr>
          <w:rFonts w:ascii="Times New Roman" w:eastAsia="Calibri" w:hAnsi="Times New Roman" w:cs="Times New Roman"/>
          <w:sz w:val="24"/>
          <w:szCs w:val="24"/>
        </w:rPr>
        <w:lastRenderedPageBreak/>
        <w:t>rynkowych lub ekonomicznych. W tym celu dokonuje przeglądu przyjętej metody, podczas którego może określić zmiany metody mające potencjalny wpływ na zmianę wartości samego wskaźnika referencyjnego.</w:t>
      </w:r>
    </w:p>
    <w:p w14:paraId="6B15FAB3"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Każda zmiana metodologii musi być poprzedzona publicznymi komunikatami administratora oraz opublikowanym dokumentem konsultacyjnym, a cały proces jest objęty nadzorem właściwego organu nadzoru.</w:t>
      </w:r>
    </w:p>
    <w:p w14:paraId="453F908D" w14:textId="77777777" w:rsidR="000701E4" w:rsidRDefault="000701E4" w:rsidP="000701E4">
      <w:pPr>
        <w:tabs>
          <w:tab w:val="left" w:pos="964"/>
          <w:tab w:val="left" w:pos="1304"/>
          <w:tab w:val="left" w:pos="1644"/>
          <w:tab w:val="left" w:pos="1985"/>
          <w:tab w:val="left" w:pos="2325"/>
        </w:tabs>
        <w:spacing w:after="0" w:line="240" w:lineRule="auto"/>
        <w:jc w:val="both"/>
        <w:rPr>
          <w:rFonts w:cs="Calibri"/>
        </w:rPr>
      </w:pPr>
    </w:p>
    <w:p w14:paraId="32993DE0" w14:textId="77777777" w:rsidR="000701E4" w:rsidRPr="0050664E"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50664E">
        <w:rPr>
          <w:rFonts w:ascii="Times New Roman" w:eastAsia="Calibri" w:hAnsi="Times New Roman" w:cs="Times New Roman"/>
          <w:b/>
          <w:sz w:val="24"/>
          <w:szCs w:val="24"/>
        </w:rPr>
        <w:t>Obowiązki podmiotów stosujących wskaźniki referencyjne</w:t>
      </w:r>
    </w:p>
    <w:p w14:paraId="3BE78D3F" w14:textId="77777777" w:rsidR="000701E4" w:rsidRPr="00E55544"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50664E">
        <w:rPr>
          <w:rFonts w:ascii="Times New Roman" w:eastAsia="Calibri" w:hAnsi="Times New Roman" w:cs="Times New Roman"/>
          <w:sz w:val="24"/>
          <w:szCs w:val="24"/>
        </w:rPr>
        <w:t xml:space="preserve">Rozporządzenie BMR nakłada obowiązki także na </w:t>
      </w:r>
      <w:r w:rsidRPr="00E55544">
        <w:rPr>
          <w:rFonts w:ascii="Times New Roman" w:eastAsia="Calibri" w:hAnsi="Times New Roman" w:cs="Times New Roman"/>
          <w:sz w:val="24"/>
          <w:szCs w:val="24"/>
        </w:rPr>
        <w:t>podmioty stosuj</w:t>
      </w:r>
      <w:r w:rsidRPr="00E55544">
        <w:rPr>
          <w:rFonts w:ascii="Times New Roman" w:eastAsia="Calibri" w:hAnsi="Times New Roman" w:cs="Times New Roman" w:hint="eastAsia"/>
          <w:sz w:val="24"/>
          <w:szCs w:val="24"/>
        </w:rPr>
        <w:t>ą</w:t>
      </w:r>
      <w:r w:rsidRPr="00E55544">
        <w:rPr>
          <w:rFonts w:ascii="Times New Roman" w:eastAsia="Calibri" w:hAnsi="Times New Roman" w:cs="Times New Roman"/>
          <w:sz w:val="24"/>
          <w:szCs w:val="24"/>
        </w:rPr>
        <w:t>ce wska</w:t>
      </w:r>
      <w:r w:rsidRPr="00E55544">
        <w:rPr>
          <w:rFonts w:ascii="Times New Roman" w:eastAsia="Calibri" w:hAnsi="Times New Roman" w:cs="Times New Roman" w:hint="eastAsia"/>
          <w:sz w:val="24"/>
          <w:szCs w:val="24"/>
        </w:rPr>
        <w:t>ź</w:t>
      </w:r>
      <w:r w:rsidRPr="00E55544">
        <w:rPr>
          <w:rFonts w:ascii="Times New Roman" w:eastAsia="Calibri" w:hAnsi="Times New Roman" w:cs="Times New Roman"/>
          <w:sz w:val="24"/>
          <w:szCs w:val="24"/>
        </w:rPr>
        <w:t xml:space="preserve">niki referencyjne (takie jak </w:t>
      </w:r>
      <w:r>
        <w:rPr>
          <w:rFonts w:ascii="Times New Roman" w:eastAsia="Calibri" w:hAnsi="Times New Roman" w:cs="Times New Roman"/>
          <w:sz w:val="24"/>
          <w:szCs w:val="24"/>
        </w:rPr>
        <w:t>Bank</w:t>
      </w:r>
      <w:r w:rsidRPr="00B013A5">
        <w:rPr>
          <w:rFonts w:ascii="Times New Roman" w:eastAsia="Calibri" w:hAnsi="Times New Roman" w:cs="Times New Roman"/>
          <w:sz w:val="24"/>
          <w:szCs w:val="24"/>
        </w:rPr>
        <w:t xml:space="preserve">). </w:t>
      </w:r>
      <w:r w:rsidRPr="00B013A5">
        <w:rPr>
          <w:rFonts w:ascii="Times New Roman" w:hAnsi="Times New Roman" w:cs="Times New Roman"/>
          <w:sz w:val="24"/>
          <w:szCs w:val="24"/>
        </w:rPr>
        <w:t xml:space="preserve">Jednym z takich obowiązków jest stosowanie w umowach </w:t>
      </w:r>
      <w:r w:rsidRPr="00B013A5">
        <w:rPr>
          <w:rFonts w:ascii="Times New Roman" w:eastAsia="Calibri" w:hAnsi="Times New Roman" w:cs="Times New Roman"/>
          <w:sz w:val="24"/>
          <w:szCs w:val="24"/>
        </w:rPr>
        <w:t>i</w:t>
      </w:r>
      <w:r w:rsidRPr="00E55544">
        <w:rPr>
          <w:rFonts w:ascii="Times New Roman" w:eastAsia="Calibri" w:hAnsi="Times New Roman" w:cs="Times New Roman"/>
          <w:sz w:val="24"/>
          <w:szCs w:val="24"/>
        </w:rPr>
        <w:t xml:space="preserve"> instrument</w:t>
      </w:r>
      <w:r>
        <w:rPr>
          <w:rFonts w:ascii="Times New Roman" w:eastAsia="Calibri" w:hAnsi="Times New Roman" w:cs="Times New Roman"/>
          <w:sz w:val="24"/>
          <w:szCs w:val="24"/>
        </w:rPr>
        <w:t>ach</w:t>
      </w:r>
      <w:r w:rsidRPr="00E55544">
        <w:rPr>
          <w:rFonts w:ascii="Times New Roman" w:eastAsia="Calibri" w:hAnsi="Times New Roman" w:cs="Times New Roman"/>
          <w:sz w:val="24"/>
          <w:szCs w:val="24"/>
        </w:rPr>
        <w:t xml:space="preserve"> finansowych wska</w:t>
      </w:r>
      <w:r w:rsidRPr="00E55544">
        <w:rPr>
          <w:rFonts w:ascii="Times New Roman" w:eastAsia="Calibri" w:hAnsi="Times New Roman" w:cs="Times New Roman" w:hint="eastAsia"/>
          <w:sz w:val="24"/>
          <w:szCs w:val="24"/>
        </w:rPr>
        <w:t>ź</w:t>
      </w:r>
      <w:r w:rsidRPr="00E55544">
        <w:rPr>
          <w:rFonts w:ascii="Times New Roman" w:eastAsia="Calibri" w:hAnsi="Times New Roman" w:cs="Times New Roman"/>
          <w:sz w:val="24"/>
          <w:szCs w:val="24"/>
        </w:rPr>
        <w:t>nik</w:t>
      </w:r>
      <w:r>
        <w:rPr>
          <w:rFonts w:ascii="Times New Roman" w:eastAsia="Calibri" w:hAnsi="Times New Roman" w:cs="Times New Roman"/>
          <w:sz w:val="24"/>
          <w:szCs w:val="24"/>
        </w:rPr>
        <w:t>ów</w:t>
      </w:r>
      <w:r w:rsidRPr="00E55544">
        <w:rPr>
          <w:rFonts w:ascii="Times New Roman" w:eastAsia="Calibri" w:hAnsi="Times New Roman" w:cs="Times New Roman"/>
          <w:sz w:val="24"/>
          <w:szCs w:val="24"/>
        </w:rPr>
        <w:t xml:space="preserve"> opracowywan</w:t>
      </w:r>
      <w:r>
        <w:rPr>
          <w:rFonts w:ascii="Times New Roman" w:eastAsia="Calibri" w:hAnsi="Times New Roman" w:cs="Times New Roman"/>
          <w:sz w:val="24"/>
          <w:szCs w:val="24"/>
        </w:rPr>
        <w:t>ych</w:t>
      </w:r>
      <w:r w:rsidRPr="00E55544">
        <w:rPr>
          <w:rFonts w:ascii="Times New Roman" w:eastAsia="Calibri" w:hAnsi="Times New Roman" w:cs="Times New Roman"/>
          <w:sz w:val="24"/>
          <w:szCs w:val="24"/>
        </w:rPr>
        <w:t xml:space="preserve"> przez administrator</w:t>
      </w:r>
      <w:r w:rsidRPr="00E55544">
        <w:rPr>
          <w:rFonts w:ascii="Times New Roman" w:eastAsia="Calibri" w:hAnsi="Times New Roman" w:cs="Times New Roman" w:hint="eastAsia"/>
          <w:sz w:val="24"/>
          <w:szCs w:val="24"/>
        </w:rPr>
        <w:t>ó</w:t>
      </w:r>
      <w:r w:rsidRPr="00E55544">
        <w:rPr>
          <w:rFonts w:ascii="Times New Roman" w:eastAsia="Calibri" w:hAnsi="Times New Roman" w:cs="Times New Roman"/>
          <w:sz w:val="24"/>
          <w:szCs w:val="24"/>
        </w:rPr>
        <w:t>w wpisanych do rejestru prowadzonego przez Europejski Urz</w:t>
      </w:r>
      <w:r w:rsidRPr="00E55544">
        <w:rPr>
          <w:rFonts w:ascii="Times New Roman" w:eastAsia="Calibri" w:hAnsi="Times New Roman" w:cs="Times New Roman" w:hint="eastAsia"/>
          <w:sz w:val="24"/>
          <w:szCs w:val="24"/>
        </w:rPr>
        <w:t>ą</w:t>
      </w:r>
      <w:r w:rsidRPr="00E55544">
        <w:rPr>
          <w:rFonts w:ascii="Times New Roman" w:eastAsia="Calibri" w:hAnsi="Times New Roman" w:cs="Times New Roman"/>
          <w:sz w:val="24"/>
          <w:szCs w:val="24"/>
        </w:rPr>
        <w:t>d Nadzoru Gie</w:t>
      </w:r>
      <w:r w:rsidRPr="00E55544">
        <w:rPr>
          <w:rFonts w:ascii="Times New Roman" w:eastAsia="Calibri" w:hAnsi="Times New Roman" w:cs="Times New Roman" w:hint="eastAsia"/>
          <w:sz w:val="24"/>
          <w:szCs w:val="24"/>
        </w:rPr>
        <w:t>ł</w:t>
      </w:r>
      <w:r w:rsidRPr="00E55544">
        <w:rPr>
          <w:rFonts w:ascii="Times New Roman" w:eastAsia="Calibri" w:hAnsi="Times New Roman" w:cs="Times New Roman"/>
          <w:sz w:val="24"/>
          <w:szCs w:val="24"/>
        </w:rPr>
        <w:t>d i Papier</w:t>
      </w:r>
      <w:r w:rsidRPr="00E55544">
        <w:rPr>
          <w:rFonts w:ascii="Times New Roman" w:eastAsia="Calibri" w:hAnsi="Times New Roman" w:cs="Times New Roman" w:hint="eastAsia"/>
          <w:sz w:val="24"/>
          <w:szCs w:val="24"/>
        </w:rPr>
        <w:t>ó</w:t>
      </w:r>
      <w:r w:rsidRPr="00E55544">
        <w:rPr>
          <w:rFonts w:ascii="Times New Roman" w:eastAsia="Calibri" w:hAnsi="Times New Roman" w:cs="Times New Roman"/>
          <w:sz w:val="24"/>
          <w:szCs w:val="24"/>
        </w:rPr>
        <w:t>w Warto</w:t>
      </w:r>
      <w:r w:rsidRPr="00E55544">
        <w:rPr>
          <w:rFonts w:ascii="Times New Roman" w:eastAsia="Calibri" w:hAnsi="Times New Roman" w:cs="Times New Roman" w:hint="eastAsia"/>
          <w:sz w:val="24"/>
          <w:szCs w:val="24"/>
        </w:rPr>
        <w:t>ś</w:t>
      </w:r>
      <w:r w:rsidRPr="00E55544">
        <w:rPr>
          <w:rFonts w:ascii="Times New Roman" w:eastAsia="Calibri" w:hAnsi="Times New Roman" w:cs="Times New Roman"/>
          <w:sz w:val="24"/>
          <w:szCs w:val="24"/>
        </w:rPr>
        <w:t xml:space="preserve">ciowych (ESMA), </w:t>
      </w:r>
      <w:r>
        <w:rPr>
          <w:rFonts w:ascii="Times New Roman" w:eastAsia="Calibri" w:hAnsi="Times New Roman" w:cs="Times New Roman"/>
          <w:sz w:val="24"/>
          <w:szCs w:val="24"/>
        </w:rPr>
        <w:t xml:space="preserve">co następuje </w:t>
      </w:r>
      <w:r w:rsidRPr="00E55544">
        <w:rPr>
          <w:rFonts w:ascii="Times New Roman" w:eastAsia="Calibri" w:hAnsi="Times New Roman" w:cs="Times New Roman"/>
          <w:sz w:val="24"/>
          <w:szCs w:val="24"/>
        </w:rPr>
        <w:t>po przeprowadzeniu odpowiedniego post</w:t>
      </w:r>
      <w:r w:rsidRPr="00E55544">
        <w:rPr>
          <w:rFonts w:ascii="Times New Roman" w:eastAsia="Calibri" w:hAnsi="Times New Roman" w:cs="Times New Roman" w:hint="eastAsia"/>
          <w:sz w:val="24"/>
          <w:szCs w:val="24"/>
        </w:rPr>
        <w:t>ę</w:t>
      </w:r>
      <w:r w:rsidRPr="00E55544">
        <w:rPr>
          <w:rFonts w:ascii="Times New Roman" w:eastAsia="Calibri" w:hAnsi="Times New Roman" w:cs="Times New Roman"/>
          <w:sz w:val="24"/>
          <w:szCs w:val="24"/>
        </w:rPr>
        <w:t>powania zatwierdzaj</w:t>
      </w:r>
      <w:r w:rsidRPr="00E55544">
        <w:rPr>
          <w:rFonts w:ascii="Times New Roman" w:eastAsia="Calibri" w:hAnsi="Times New Roman" w:cs="Times New Roman" w:hint="eastAsia"/>
          <w:sz w:val="24"/>
          <w:szCs w:val="24"/>
        </w:rPr>
        <w:t>ą</w:t>
      </w:r>
      <w:r w:rsidRPr="00E55544">
        <w:rPr>
          <w:rFonts w:ascii="Times New Roman" w:eastAsia="Calibri" w:hAnsi="Times New Roman" w:cs="Times New Roman"/>
          <w:sz w:val="24"/>
          <w:szCs w:val="24"/>
        </w:rPr>
        <w:t>cego dzia</w:t>
      </w:r>
      <w:r w:rsidRPr="00E55544">
        <w:rPr>
          <w:rFonts w:ascii="Times New Roman" w:eastAsia="Calibri" w:hAnsi="Times New Roman" w:cs="Times New Roman" w:hint="eastAsia"/>
          <w:sz w:val="24"/>
          <w:szCs w:val="24"/>
        </w:rPr>
        <w:t>ł</w:t>
      </w:r>
      <w:r w:rsidRPr="00E55544">
        <w:rPr>
          <w:rFonts w:ascii="Times New Roman" w:eastAsia="Calibri" w:hAnsi="Times New Roman" w:cs="Times New Roman"/>
          <w:sz w:val="24"/>
          <w:szCs w:val="24"/>
        </w:rPr>
        <w:t>alno</w:t>
      </w:r>
      <w:r w:rsidRPr="00E55544">
        <w:rPr>
          <w:rFonts w:ascii="Times New Roman" w:eastAsia="Calibri" w:hAnsi="Times New Roman" w:cs="Times New Roman" w:hint="eastAsia"/>
          <w:sz w:val="24"/>
          <w:szCs w:val="24"/>
        </w:rPr>
        <w:t>ść</w:t>
      </w:r>
      <w:r w:rsidRPr="00E55544">
        <w:rPr>
          <w:rFonts w:ascii="Times New Roman" w:eastAsia="Calibri" w:hAnsi="Times New Roman" w:cs="Times New Roman"/>
          <w:sz w:val="24"/>
          <w:szCs w:val="24"/>
        </w:rPr>
        <w:t xml:space="preserve"> danego administratora</w:t>
      </w:r>
      <w:r>
        <w:rPr>
          <w:rFonts w:ascii="Times New Roman" w:eastAsia="Calibri" w:hAnsi="Times New Roman" w:cs="Times New Roman"/>
          <w:sz w:val="24"/>
          <w:szCs w:val="24"/>
        </w:rPr>
        <w:t>.</w:t>
      </w:r>
      <w:r w:rsidRPr="00E55544">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E55544">
        <w:rPr>
          <w:rFonts w:ascii="Times New Roman" w:eastAsia="Calibri" w:hAnsi="Times New Roman" w:cs="Times New Roman"/>
          <w:sz w:val="24"/>
          <w:szCs w:val="24"/>
        </w:rPr>
        <w:t>zi</w:t>
      </w:r>
      <w:r w:rsidRPr="00E55544">
        <w:rPr>
          <w:rFonts w:ascii="Times New Roman" w:eastAsia="Calibri" w:hAnsi="Times New Roman" w:cs="Times New Roman" w:hint="eastAsia"/>
          <w:sz w:val="24"/>
          <w:szCs w:val="24"/>
        </w:rPr>
        <w:t>ę</w:t>
      </w:r>
      <w:r w:rsidRPr="00E55544">
        <w:rPr>
          <w:rFonts w:ascii="Times New Roman" w:eastAsia="Calibri" w:hAnsi="Times New Roman" w:cs="Times New Roman"/>
          <w:sz w:val="24"/>
          <w:szCs w:val="24"/>
        </w:rPr>
        <w:t xml:space="preserve">ki </w:t>
      </w:r>
      <w:r>
        <w:rPr>
          <w:rFonts w:ascii="Times New Roman" w:eastAsia="Calibri" w:hAnsi="Times New Roman" w:cs="Times New Roman"/>
          <w:sz w:val="24"/>
          <w:szCs w:val="24"/>
        </w:rPr>
        <w:t>te</w:t>
      </w:r>
      <w:r w:rsidRPr="00E55544">
        <w:rPr>
          <w:rFonts w:ascii="Times New Roman" w:eastAsia="Calibri" w:hAnsi="Times New Roman" w:cs="Times New Roman"/>
          <w:sz w:val="24"/>
          <w:szCs w:val="24"/>
        </w:rPr>
        <w:t xml:space="preserve">mu podmioty rynku finansowego </w:t>
      </w:r>
      <w:r>
        <w:rPr>
          <w:rFonts w:ascii="Times New Roman" w:eastAsia="Calibri" w:hAnsi="Times New Roman" w:cs="Times New Roman"/>
          <w:sz w:val="24"/>
          <w:szCs w:val="24"/>
        </w:rPr>
        <w:t xml:space="preserve"> stosują </w:t>
      </w:r>
      <w:r w:rsidRPr="00E55544">
        <w:rPr>
          <w:rFonts w:ascii="Times New Roman" w:eastAsia="Calibri" w:hAnsi="Times New Roman" w:cs="Times New Roman"/>
          <w:sz w:val="24"/>
          <w:szCs w:val="24"/>
        </w:rPr>
        <w:t>jedynie wiarygodne oraz zatwierdzone wska</w:t>
      </w:r>
      <w:r w:rsidRPr="00E55544">
        <w:rPr>
          <w:rFonts w:ascii="Times New Roman" w:eastAsia="Calibri" w:hAnsi="Times New Roman" w:cs="Times New Roman" w:hint="eastAsia"/>
          <w:sz w:val="24"/>
          <w:szCs w:val="24"/>
        </w:rPr>
        <w:t>ź</w:t>
      </w:r>
      <w:r w:rsidRPr="00E55544">
        <w:rPr>
          <w:rFonts w:ascii="Times New Roman" w:eastAsia="Calibri" w:hAnsi="Times New Roman" w:cs="Times New Roman"/>
          <w:sz w:val="24"/>
          <w:szCs w:val="24"/>
        </w:rPr>
        <w:t xml:space="preserve">niki referencyjne. </w:t>
      </w:r>
    </w:p>
    <w:p w14:paraId="3D227FAE"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 xml:space="preserve">Klienci </w:t>
      </w:r>
      <w:r w:rsidRPr="00A0444D">
        <w:rPr>
          <w:rFonts w:ascii="Times New Roman" w:eastAsia="Calibri" w:hAnsi="Times New Roman" w:cs="Times New Roman"/>
          <w:b/>
          <w:sz w:val="24"/>
          <w:szCs w:val="24"/>
        </w:rPr>
        <w:t>Rejonowego Banku Spółdzielczego w Malanowie</w:t>
      </w:r>
      <w:r>
        <w:rPr>
          <w:rFonts w:ascii="Times New Roman" w:eastAsia="Calibri" w:hAnsi="Times New Roman" w:cs="Times New Roman"/>
          <w:b/>
          <w:sz w:val="24"/>
          <w:szCs w:val="24"/>
        </w:rPr>
        <w:t>,</w:t>
      </w:r>
      <w:r>
        <w:rPr>
          <w:rFonts w:ascii="Times New Roman" w:eastAsia="Calibri" w:hAnsi="Times New Roman" w:cs="Times New Roman"/>
          <w:i/>
          <w:color w:val="00B050"/>
          <w:sz w:val="24"/>
          <w:szCs w:val="24"/>
        </w:rPr>
        <w:t xml:space="preserve"> </w:t>
      </w:r>
      <w:r w:rsidRPr="00F14DFD">
        <w:rPr>
          <w:rFonts w:ascii="Times New Roman" w:eastAsia="Calibri" w:hAnsi="Times New Roman" w:cs="Times New Roman"/>
          <w:sz w:val="24"/>
          <w:szCs w:val="24"/>
        </w:rPr>
        <w:t xml:space="preserve">podpisujący umowę odnoszącą się do wskaźnika referencyjnego, akceptują ryzyko jego zmiany wynikającej </w:t>
      </w:r>
      <w:r>
        <w:rPr>
          <w:rFonts w:ascii="Times New Roman" w:eastAsia="Calibri" w:hAnsi="Times New Roman" w:cs="Times New Roman"/>
          <w:sz w:val="24"/>
          <w:szCs w:val="24"/>
        </w:rPr>
        <w:t xml:space="preserve"> z okoliczności </w:t>
      </w:r>
      <w:r w:rsidRPr="00F14DFD">
        <w:rPr>
          <w:rFonts w:ascii="Times New Roman" w:eastAsia="Calibri" w:hAnsi="Times New Roman" w:cs="Times New Roman"/>
          <w:sz w:val="24"/>
          <w:szCs w:val="24"/>
        </w:rPr>
        <w:t>rynkowych oraz ekonomicznych lub będących skutkiem zmiany metodologii, na podstawie której jest on opracowywany. Jednocześnie, Klienci akceptują fakt, iż zmiana wartości wskaźnika wynikająca ze zmiany metody jego opracowywania lub ze zmiany definicji, a także istotna zmiana wskaźnika ogłoszona przez jego administratora nie stanowią istotnej modyfikacji umowy lub instrumentu finansowego.</w:t>
      </w:r>
    </w:p>
    <w:p w14:paraId="6F890F39" w14:textId="77777777" w:rsidR="000701E4"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bookmarkStart w:id="0" w:name="_Hlk216266196"/>
    </w:p>
    <w:p w14:paraId="7819F5D0"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F14DFD">
        <w:rPr>
          <w:rFonts w:ascii="Times New Roman" w:eastAsia="Calibri" w:hAnsi="Times New Roman" w:cs="Times New Roman"/>
          <w:b/>
          <w:sz w:val="24"/>
          <w:szCs w:val="24"/>
        </w:rPr>
        <w:t xml:space="preserve">Informacje </w:t>
      </w:r>
      <w:r>
        <w:rPr>
          <w:rFonts w:ascii="Times New Roman" w:eastAsia="Calibri" w:hAnsi="Times New Roman" w:cs="Times New Roman"/>
          <w:b/>
          <w:sz w:val="24"/>
          <w:szCs w:val="24"/>
        </w:rPr>
        <w:t xml:space="preserve"> dotyczące </w:t>
      </w:r>
      <w:r w:rsidRPr="00F14DFD">
        <w:rPr>
          <w:rFonts w:ascii="Times New Roman" w:eastAsia="Calibri" w:hAnsi="Times New Roman" w:cs="Times New Roman"/>
          <w:b/>
          <w:sz w:val="24"/>
          <w:szCs w:val="24"/>
        </w:rPr>
        <w:t>zmiany sposobu oprocentowania</w:t>
      </w:r>
    </w:p>
    <w:bookmarkEnd w:id="0"/>
    <w:p w14:paraId="16F8335D"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Płatność wynikająca z nabycia instrumentu finansowego lub wysokość oprocentowania wynikająca z umowy</w:t>
      </w:r>
      <w:r>
        <w:rPr>
          <w:rFonts w:ascii="Times New Roman" w:eastAsia="Calibri" w:hAnsi="Times New Roman" w:cs="Times New Roman"/>
          <w:sz w:val="24"/>
          <w:szCs w:val="24"/>
        </w:rPr>
        <w:t>(np. umowy kredytu)</w:t>
      </w:r>
      <w:r w:rsidRPr="00F14DFD">
        <w:rPr>
          <w:rFonts w:ascii="Times New Roman" w:eastAsia="Calibri" w:hAnsi="Times New Roman" w:cs="Times New Roman"/>
          <w:sz w:val="24"/>
          <w:szCs w:val="24"/>
        </w:rPr>
        <w:t xml:space="preserve">, podlegają przeglądowi </w:t>
      </w:r>
      <w:r>
        <w:rPr>
          <w:rFonts w:ascii="Times New Roman" w:eastAsia="Calibri" w:hAnsi="Times New Roman" w:cs="Times New Roman"/>
          <w:sz w:val="24"/>
          <w:szCs w:val="24"/>
        </w:rPr>
        <w:t xml:space="preserve">i aktualizacji </w:t>
      </w:r>
      <w:r w:rsidRPr="00F14DFD">
        <w:rPr>
          <w:rFonts w:ascii="Times New Roman" w:eastAsia="Calibri" w:hAnsi="Times New Roman" w:cs="Times New Roman"/>
          <w:sz w:val="24"/>
          <w:szCs w:val="24"/>
        </w:rPr>
        <w:t xml:space="preserve">zgodnie z okresem obowiązywania stopy procentowej, który wynika z umowy (np. okres taki dla </w:t>
      </w:r>
      <w:r>
        <w:rPr>
          <w:rFonts w:ascii="Times New Roman" w:eastAsia="Calibri" w:hAnsi="Times New Roman" w:cs="Times New Roman"/>
          <w:sz w:val="24"/>
          <w:szCs w:val="24"/>
        </w:rPr>
        <w:t>WIBOR 3M</w:t>
      </w:r>
      <w:r w:rsidRPr="00F14DFD">
        <w:rPr>
          <w:rFonts w:ascii="Times New Roman" w:eastAsia="Calibri" w:hAnsi="Times New Roman" w:cs="Times New Roman"/>
          <w:sz w:val="24"/>
          <w:szCs w:val="24"/>
        </w:rPr>
        <w:t xml:space="preserve">wynosi </w:t>
      </w:r>
      <w:r>
        <w:rPr>
          <w:rFonts w:ascii="Times New Roman" w:eastAsia="Calibri" w:hAnsi="Times New Roman" w:cs="Times New Roman"/>
          <w:sz w:val="24"/>
          <w:szCs w:val="24"/>
        </w:rPr>
        <w:t>3</w:t>
      </w:r>
      <w:r w:rsidRPr="00F14DFD">
        <w:rPr>
          <w:rFonts w:ascii="Times New Roman" w:eastAsia="Calibri" w:hAnsi="Times New Roman" w:cs="Times New Roman"/>
          <w:sz w:val="24"/>
          <w:szCs w:val="24"/>
        </w:rPr>
        <w:t xml:space="preserve"> miesiąc</w:t>
      </w:r>
      <w:r>
        <w:rPr>
          <w:rFonts w:ascii="Times New Roman" w:eastAsia="Calibri" w:hAnsi="Times New Roman" w:cs="Times New Roman"/>
          <w:sz w:val="24"/>
          <w:szCs w:val="24"/>
        </w:rPr>
        <w:t>e</w:t>
      </w:r>
      <w:r w:rsidRPr="00F14DFD">
        <w:rPr>
          <w:rFonts w:ascii="Times New Roman" w:eastAsia="Calibri" w:hAnsi="Times New Roman" w:cs="Times New Roman"/>
          <w:sz w:val="24"/>
          <w:szCs w:val="24"/>
        </w:rPr>
        <w:t>). W dniu ustalenia oprocentowania, który wynika z umowy, Bank nalicza oprocentowanie w oparciu o aktualnie obowiązującą stawkę referencyjną, opublikowaną przez właściwego dla danej stawki referencyjnej administratora, zgodnie z Rozporządzeniem BMR.</w:t>
      </w:r>
    </w:p>
    <w:p w14:paraId="4AD72192" w14:textId="77777777" w:rsidR="000701E4"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p>
    <w:p w14:paraId="3A2FAD04"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r w:rsidRPr="00F14DFD">
        <w:rPr>
          <w:rFonts w:ascii="Times New Roman" w:eastAsia="Calibri" w:hAnsi="Times New Roman" w:cs="Times New Roman"/>
          <w:b/>
          <w:sz w:val="24"/>
          <w:szCs w:val="24"/>
        </w:rPr>
        <w:t>Ryzyka ogólne dotyczące różnych wskaźników referencyjnych</w:t>
      </w:r>
    </w:p>
    <w:p w14:paraId="520D3729"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Można zidentyfikować następujące ogólne ryzyka związane ze stosowaniem wskaźników referencyjnych:</w:t>
      </w:r>
    </w:p>
    <w:p w14:paraId="600A0F63" w14:textId="77777777" w:rsidR="000701E4" w:rsidRPr="00F14DFD" w:rsidRDefault="000701E4" w:rsidP="000701E4">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administrator danego wskaźnika referencyjnego może podjąć decyzję o zaprzestaniu jego opracowywania albo odpowiedni organ może cofnąć administratorowi zezwolenie na opracowywania danego wskaźnika;</w:t>
      </w:r>
    </w:p>
    <w:p w14:paraId="7CFD2D97" w14:textId="77777777" w:rsidR="000701E4" w:rsidRPr="00F14DFD" w:rsidRDefault="000701E4" w:rsidP="000701E4">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 xml:space="preserve">niektóre wskaźniki referencyjne, w tym ich metodologia, mogą ulec zmianie przez administratora danego wskaźnika referencyjnego z przyczyn regulacyjnych lub biznesowych; </w:t>
      </w:r>
    </w:p>
    <w:p w14:paraId="17CAF7E3" w14:textId="77777777" w:rsidR="000701E4" w:rsidRPr="00F14DFD" w:rsidRDefault="000701E4" w:rsidP="000701E4">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wskaźniki referencyjne mogą przestać być publikowane lub opracowywane w całości lub w odniesieniu do konkretnego okresu odsetkowego lub konkretnej waluty (w przypadku LIBOR), a odpowiednie wskaźniki alternatywne mog</w:t>
      </w:r>
      <w:r>
        <w:rPr>
          <w:rFonts w:ascii="Times New Roman" w:eastAsia="Calibri" w:hAnsi="Times New Roman" w:cs="Times New Roman"/>
          <w:sz w:val="24"/>
          <w:szCs w:val="24"/>
        </w:rPr>
        <w:t>ą</w:t>
      </w:r>
      <w:r w:rsidRPr="00F14DFD">
        <w:rPr>
          <w:rFonts w:ascii="Times New Roman" w:eastAsia="Calibri" w:hAnsi="Times New Roman" w:cs="Times New Roman"/>
          <w:sz w:val="24"/>
          <w:szCs w:val="24"/>
        </w:rPr>
        <w:t xml:space="preserve"> nie zostać wyznaczone;</w:t>
      </w:r>
    </w:p>
    <w:p w14:paraId="60948705" w14:textId="77777777" w:rsidR="000701E4" w:rsidRPr="00F14DFD" w:rsidRDefault="000701E4" w:rsidP="000701E4">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b/>
          <w:sz w:val="24"/>
          <w:szCs w:val="24"/>
        </w:rPr>
      </w:pPr>
      <w:r w:rsidRPr="00F14DFD">
        <w:rPr>
          <w:rFonts w:ascii="Times New Roman" w:eastAsia="Calibri" w:hAnsi="Times New Roman" w:cs="Times New Roman"/>
          <w:sz w:val="24"/>
          <w:szCs w:val="24"/>
        </w:rPr>
        <w:t>może istnieć uzasadniona potrzeba zmiany umów finansowych lub instrumentów finansowych poprzez odwołanie się do stóp wolnych od ryzyka (tzw. stóp RFR).</w:t>
      </w:r>
    </w:p>
    <w:p w14:paraId="3D0CB690" w14:textId="77777777" w:rsidR="000701E4" w:rsidRPr="00F14DFD" w:rsidRDefault="000701E4" w:rsidP="000701E4">
      <w:pPr>
        <w:numPr>
          <w:ilvl w:val="0"/>
          <w:numId w:val="1"/>
        </w:num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lastRenderedPageBreak/>
        <w:t xml:space="preserve">wskaźniki referencyjne mogą przestać w sposób adekwatny odzwierciedlać </w:t>
      </w:r>
      <w:r>
        <w:rPr>
          <w:rFonts w:ascii="Times New Roman" w:eastAsia="Calibri" w:hAnsi="Times New Roman" w:cs="Times New Roman"/>
          <w:sz w:val="24"/>
          <w:szCs w:val="24"/>
        </w:rPr>
        <w:t xml:space="preserve">rzeczywistość </w:t>
      </w:r>
      <w:r w:rsidRPr="00F14DFD">
        <w:rPr>
          <w:rFonts w:ascii="Times New Roman" w:eastAsia="Calibri" w:hAnsi="Times New Roman" w:cs="Times New Roman"/>
          <w:sz w:val="24"/>
          <w:szCs w:val="24"/>
        </w:rPr>
        <w:t>rynko</w:t>
      </w:r>
      <w:r>
        <w:rPr>
          <w:rFonts w:ascii="Times New Roman" w:eastAsia="Calibri" w:hAnsi="Times New Roman" w:cs="Times New Roman"/>
          <w:sz w:val="24"/>
          <w:szCs w:val="24"/>
        </w:rPr>
        <w:t xml:space="preserve">wą i ekonomiczną </w:t>
      </w:r>
      <w:r w:rsidRPr="00F14DFD">
        <w:rPr>
          <w:rFonts w:ascii="Times New Roman" w:eastAsia="Calibri" w:hAnsi="Times New Roman" w:cs="Times New Roman"/>
          <w:sz w:val="24"/>
          <w:szCs w:val="24"/>
        </w:rPr>
        <w:t>, ze względu na zaprzestanie przekazywania danych wejściowych przez podmioty przekazujące takie niezbędne do opracowywania dane lub wskaźnik referencyjny zostanie uznany przez właściwy organ nadzoru za niewiarygodny, przez co nie będzie kwalifikował się do pomiaru danego rynku bazowego;</w:t>
      </w:r>
    </w:p>
    <w:p w14:paraId="2BC493CC" w14:textId="77777777" w:rsidR="000701E4"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p>
    <w:p w14:paraId="2F66B8A6"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F14DFD">
        <w:rPr>
          <w:rFonts w:ascii="Times New Roman" w:eastAsia="Calibri" w:hAnsi="Times New Roman" w:cs="Times New Roman"/>
          <w:b/>
          <w:sz w:val="24"/>
          <w:szCs w:val="24"/>
        </w:rPr>
        <w:t>Ryzyko zaprzestania przez administratora opracowywania wskaźnika referencyjnego w sposób trwały lub czasowy</w:t>
      </w:r>
    </w:p>
    <w:p w14:paraId="12C69358"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Administrator </w:t>
      </w:r>
      <w:r w:rsidRPr="00F14DFD">
        <w:rPr>
          <w:rFonts w:ascii="Times New Roman" w:eastAsia="Calibri" w:hAnsi="Times New Roman" w:cs="Times New Roman"/>
          <w:sz w:val="24"/>
          <w:szCs w:val="24"/>
        </w:rPr>
        <w:t xml:space="preserve"> jest uprawniony do zaprzestania w sposób trwały opracowywania wskaźnika referencyjnego</w:t>
      </w:r>
      <w:r>
        <w:rPr>
          <w:rFonts w:ascii="Times New Roman" w:eastAsia="Calibri" w:hAnsi="Times New Roman" w:cs="Times New Roman"/>
          <w:sz w:val="24"/>
          <w:szCs w:val="24"/>
        </w:rPr>
        <w:t xml:space="preserve">. Następuje to </w:t>
      </w:r>
      <w:r w:rsidRPr="00F14DFD">
        <w:rPr>
          <w:rFonts w:ascii="Times New Roman" w:eastAsia="Calibri" w:hAnsi="Times New Roman" w:cs="Times New Roman"/>
          <w:sz w:val="24"/>
          <w:szCs w:val="24"/>
        </w:rPr>
        <w:t xml:space="preserve"> w trybie określonym w dokumentacji wskaźnika referencyjnego opublikowanej przez administratora na jego stronie internetowej</w:t>
      </w:r>
      <w:r>
        <w:rPr>
          <w:rFonts w:ascii="Times New Roman" w:eastAsia="Calibri" w:hAnsi="Times New Roman" w:cs="Times New Roman"/>
          <w:sz w:val="24"/>
          <w:szCs w:val="24"/>
        </w:rPr>
        <w:t xml:space="preserve">. W </w:t>
      </w:r>
      <w:r>
        <w:rPr>
          <w:rFonts w:cs="Calibri"/>
        </w:rPr>
        <w:t xml:space="preserve">przypadku zaistnienia takiej okoliczności określone uprawnienia </w:t>
      </w:r>
      <w:r>
        <w:rPr>
          <w:rFonts w:ascii="Times New Roman" w:eastAsia="Calibri" w:hAnsi="Times New Roman" w:cs="Times New Roman"/>
          <w:sz w:val="24"/>
          <w:szCs w:val="24"/>
        </w:rPr>
        <w:t xml:space="preserve">posiadają organy </w:t>
      </w:r>
      <w:r w:rsidRPr="00F14DFD">
        <w:rPr>
          <w:rFonts w:ascii="Times New Roman" w:eastAsia="Calibri" w:hAnsi="Times New Roman" w:cs="Times New Roman"/>
          <w:sz w:val="24"/>
          <w:szCs w:val="24"/>
        </w:rPr>
        <w:t>nadzoru</w:t>
      </w:r>
      <w:r>
        <w:rPr>
          <w:rFonts w:ascii="Times New Roman" w:eastAsia="Calibri" w:hAnsi="Times New Roman" w:cs="Times New Roman"/>
          <w:sz w:val="24"/>
          <w:szCs w:val="24"/>
        </w:rPr>
        <w:t xml:space="preserve">, co wynika </w:t>
      </w:r>
      <w:r w:rsidRPr="00F14DFD">
        <w:rPr>
          <w:rFonts w:ascii="Times New Roman" w:eastAsia="Calibri" w:hAnsi="Times New Roman" w:cs="Times New Roman"/>
          <w:sz w:val="24"/>
          <w:szCs w:val="24"/>
        </w:rPr>
        <w:t xml:space="preserve"> z art. 21 oraz 23 Rozporządzenia BMR. Administrator może podjąć decyzję o zaprzestaniu opracowywania wskaźnika referencyjnego w szczególności z przyczyn biznesowych (czynnik pozaekonomiczny) lub z uwagi na uznanie przez administratora, że dane wykorzystywane do opracowywania wskaźnika referencyjnego nie są reprezentatywne dla rynku lub realiów gospodarczych. </w:t>
      </w:r>
      <w:r>
        <w:rPr>
          <w:rFonts w:ascii="Times New Roman" w:eastAsia="Calibri" w:hAnsi="Times New Roman" w:cs="Times New Roman"/>
          <w:sz w:val="24"/>
          <w:szCs w:val="24"/>
        </w:rPr>
        <w:t xml:space="preserve"> Z</w:t>
      </w:r>
      <w:r w:rsidRPr="00F14DFD">
        <w:rPr>
          <w:rFonts w:ascii="Times New Roman" w:eastAsia="Calibri" w:hAnsi="Times New Roman" w:cs="Times New Roman"/>
          <w:sz w:val="24"/>
          <w:szCs w:val="24"/>
        </w:rPr>
        <w:t>aprzestani</w:t>
      </w:r>
      <w:r>
        <w:rPr>
          <w:rFonts w:ascii="Times New Roman" w:eastAsia="Calibri" w:hAnsi="Times New Roman" w:cs="Times New Roman"/>
          <w:sz w:val="24"/>
          <w:szCs w:val="24"/>
        </w:rPr>
        <w:t>e</w:t>
      </w:r>
      <w:r w:rsidRPr="00F14DFD">
        <w:rPr>
          <w:rFonts w:ascii="Times New Roman" w:eastAsia="Calibri" w:hAnsi="Times New Roman" w:cs="Times New Roman"/>
          <w:sz w:val="24"/>
          <w:szCs w:val="24"/>
        </w:rPr>
        <w:t xml:space="preserve"> opracowywania wskaźnika referencyjnego poprzedza proces konsultacji publicznych trwający zazwyczaj kilka miesięcy, w ramach których administrator </w:t>
      </w:r>
      <w:r>
        <w:rPr>
          <w:rFonts w:ascii="Times New Roman" w:eastAsia="Calibri" w:hAnsi="Times New Roman" w:cs="Times New Roman"/>
          <w:sz w:val="24"/>
          <w:szCs w:val="24"/>
        </w:rPr>
        <w:t xml:space="preserve"> określa </w:t>
      </w:r>
      <w:r w:rsidRPr="00F14DFD">
        <w:rPr>
          <w:rFonts w:ascii="Times New Roman" w:eastAsia="Calibri" w:hAnsi="Times New Roman" w:cs="Times New Roman"/>
          <w:sz w:val="24"/>
          <w:szCs w:val="24"/>
        </w:rPr>
        <w:t xml:space="preserve">datę, od której zamierza zaprzestać opracowywania wskaźnika referencyjnego. </w:t>
      </w:r>
    </w:p>
    <w:p w14:paraId="670F650B"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Dodatkowo metoda opracowywania wskaźnika referencyjnego zwyczajowo wskazuje, że istnieją okoliczności, w których w danym dniu administrator może nie być w stanie wyznaczyć wartości wskaźnika referencyjnego</w:t>
      </w:r>
      <w:r>
        <w:rPr>
          <w:rFonts w:ascii="Times New Roman" w:eastAsia="Calibri" w:hAnsi="Times New Roman" w:cs="Times New Roman"/>
          <w:sz w:val="24"/>
          <w:szCs w:val="24"/>
        </w:rPr>
        <w:t xml:space="preserve">. Przykładem </w:t>
      </w:r>
      <w:r w:rsidRPr="00F14DFD">
        <w:rPr>
          <w:rFonts w:ascii="Times New Roman" w:eastAsia="Calibri" w:hAnsi="Times New Roman" w:cs="Times New Roman"/>
          <w:sz w:val="24"/>
          <w:szCs w:val="24"/>
        </w:rPr>
        <w:t xml:space="preserve"> sytuacji nieotrzymania przez administratora w danym dniu wystarczającej ilości danych niezbędnych do wyznaczenia w danym dniu wartości wskaźnika referencyjnego. </w:t>
      </w:r>
    </w:p>
    <w:p w14:paraId="54A43B2D"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 xml:space="preserve">Konsekwencją trwałego lub czasowego zaprzestania przez administratora opracowywania wskaźnika referencyjnego może być brak możliwości wykorzystania przez Bank wskaźnika referencyjnego do ustalenia wartości wzajemnych świadczeń wynikających z </w:t>
      </w:r>
      <w:r>
        <w:rPr>
          <w:rFonts w:ascii="Times New Roman" w:eastAsia="Calibri" w:hAnsi="Times New Roman" w:cs="Times New Roman"/>
          <w:sz w:val="24"/>
          <w:szCs w:val="24"/>
        </w:rPr>
        <w:t xml:space="preserve">umowy </w:t>
      </w:r>
      <w:r w:rsidRPr="00F14DFD">
        <w:rPr>
          <w:rFonts w:ascii="Times New Roman" w:eastAsia="Calibri" w:hAnsi="Times New Roman" w:cs="Times New Roman"/>
          <w:sz w:val="24"/>
          <w:szCs w:val="24"/>
        </w:rPr>
        <w:t xml:space="preserve">zawartej pomiędzy bankiem a </w:t>
      </w:r>
      <w:r>
        <w:rPr>
          <w:rFonts w:ascii="Times New Roman" w:eastAsia="Calibri" w:hAnsi="Times New Roman" w:cs="Times New Roman"/>
          <w:sz w:val="24"/>
          <w:szCs w:val="24"/>
        </w:rPr>
        <w:t>Klientem</w:t>
      </w:r>
      <w:r w:rsidRPr="00F14DFD">
        <w:rPr>
          <w:rFonts w:ascii="Times New Roman" w:eastAsia="Calibri" w:hAnsi="Times New Roman" w:cs="Times New Roman"/>
          <w:sz w:val="24"/>
          <w:szCs w:val="24"/>
        </w:rPr>
        <w:t xml:space="preserve">. W takiej sytuacji zastosowanie znajdą postanowienia umowy łączącej </w:t>
      </w:r>
      <w:r>
        <w:rPr>
          <w:rFonts w:ascii="Times New Roman" w:eastAsia="Calibri" w:hAnsi="Times New Roman" w:cs="Times New Roman"/>
          <w:sz w:val="24"/>
          <w:szCs w:val="24"/>
        </w:rPr>
        <w:t xml:space="preserve">Klienta </w:t>
      </w:r>
      <w:r w:rsidRPr="00F14DFD">
        <w:rPr>
          <w:rFonts w:ascii="Times New Roman" w:eastAsia="Calibri" w:hAnsi="Times New Roman" w:cs="Times New Roman"/>
          <w:sz w:val="24"/>
          <w:szCs w:val="24"/>
        </w:rPr>
        <w:t>z Bankiem.</w:t>
      </w:r>
    </w:p>
    <w:p w14:paraId="3B7F0191" w14:textId="77777777" w:rsidR="000701E4"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p>
    <w:p w14:paraId="126BF7D0"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b/>
          <w:sz w:val="24"/>
          <w:szCs w:val="24"/>
        </w:rPr>
      </w:pPr>
      <w:r w:rsidRPr="00F14DFD">
        <w:rPr>
          <w:rFonts w:ascii="Times New Roman" w:eastAsia="Calibri" w:hAnsi="Times New Roman" w:cs="Times New Roman"/>
          <w:b/>
          <w:sz w:val="24"/>
          <w:szCs w:val="24"/>
        </w:rPr>
        <w:t>Ryzyko zmiany przez administratora metody opracowywania wskaźnika referencyjnego</w:t>
      </w:r>
    </w:p>
    <w:p w14:paraId="530E9BC3" w14:textId="77777777" w:rsidR="000701E4" w:rsidRPr="00F14DFD" w:rsidRDefault="000701E4" w:rsidP="000701E4">
      <w:pPr>
        <w:tabs>
          <w:tab w:val="left" w:pos="964"/>
          <w:tab w:val="left" w:pos="1304"/>
          <w:tab w:val="left" w:pos="1644"/>
          <w:tab w:val="left" w:pos="1985"/>
          <w:tab w:val="left" w:pos="232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Administrator </w:t>
      </w:r>
      <w:r w:rsidRPr="00F14DFD">
        <w:rPr>
          <w:rFonts w:ascii="Times New Roman" w:eastAsia="Calibri" w:hAnsi="Times New Roman" w:cs="Times New Roman"/>
          <w:sz w:val="24"/>
          <w:szCs w:val="24"/>
        </w:rPr>
        <w:t>na podstawie posiadanego zezwolenia jest uprawniony do wprowadzenia zmiany w metodzie opracowywania wskaźnika referencyjnego</w:t>
      </w:r>
      <w:r>
        <w:rPr>
          <w:rFonts w:ascii="Times New Roman" w:eastAsia="Calibri" w:hAnsi="Times New Roman" w:cs="Times New Roman"/>
          <w:sz w:val="24"/>
          <w:szCs w:val="24"/>
        </w:rPr>
        <w:t xml:space="preserve">. Następuje to </w:t>
      </w:r>
      <w:r w:rsidRPr="00F14DFD">
        <w:rPr>
          <w:rFonts w:ascii="Times New Roman" w:eastAsia="Calibri" w:hAnsi="Times New Roman" w:cs="Times New Roman"/>
          <w:sz w:val="24"/>
          <w:szCs w:val="24"/>
        </w:rPr>
        <w:t xml:space="preserve"> w trybie określonym w dokumentacji wskaźnika referencyjnego opublikowanej przez administratora na jego stronie internetowej. Zgodnie ze zwyczajowo opublikowaną przez administratora informacją ogólną w zakresie procesu zmiany metody opracowywania wskaźnika referencyjnego dokonanie takiej zmiany poprzedza proces konsultacji publicznych</w:t>
      </w:r>
      <w:r>
        <w:rPr>
          <w:rFonts w:ascii="Times New Roman" w:eastAsia="Calibri" w:hAnsi="Times New Roman" w:cs="Times New Roman"/>
          <w:sz w:val="24"/>
          <w:szCs w:val="24"/>
        </w:rPr>
        <w:t>. W</w:t>
      </w:r>
      <w:r w:rsidRPr="00F14DFD">
        <w:rPr>
          <w:rFonts w:ascii="Times New Roman" w:eastAsia="Calibri" w:hAnsi="Times New Roman" w:cs="Times New Roman"/>
          <w:sz w:val="24"/>
          <w:szCs w:val="24"/>
        </w:rPr>
        <w:t xml:space="preserve"> ramach</w:t>
      </w:r>
      <w:r>
        <w:rPr>
          <w:rFonts w:ascii="Times New Roman" w:eastAsia="Calibri" w:hAnsi="Times New Roman" w:cs="Times New Roman"/>
          <w:sz w:val="24"/>
          <w:szCs w:val="24"/>
        </w:rPr>
        <w:t xml:space="preserve"> tych konsultacji</w:t>
      </w:r>
      <w:r w:rsidRPr="00F14DFD">
        <w:rPr>
          <w:rFonts w:ascii="Times New Roman" w:eastAsia="Calibri" w:hAnsi="Times New Roman" w:cs="Times New Roman"/>
          <w:sz w:val="24"/>
          <w:szCs w:val="24"/>
        </w:rPr>
        <w:t xml:space="preserve">, których administrator </w:t>
      </w:r>
      <w:r>
        <w:rPr>
          <w:rFonts w:ascii="Times New Roman" w:eastAsia="Calibri" w:hAnsi="Times New Roman" w:cs="Times New Roman"/>
          <w:sz w:val="24"/>
          <w:szCs w:val="24"/>
        </w:rPr>
        <w:t xml:space="preserve">określa </w:t>
      </w:r>
      <w:r w:rsidRPr="00F14DFD">
        <w:rPr>
          <w:rFonts w:ascii="Times New Roman" w:eastAsia="Calibri" w:hAnsi="Times New Roman" w:cs="Times New Roman"/>
          <w:sz w:val="24"/>
          <w:szCs w:val="24"/>
        </w:rPr>
        <w:t xml:space="preserve">zakres proponowanej zmiany oraz jej uzasadnienie. </w:t>
      </w:r>
      <w:r>
        <w:rPr>
          <w:rFonts w:ascii="Times New Roman" w:eastAsia="Calibri" w:hAnsi="Times New Roman" w:cs="Times New Roman"/>
          <w:sz w:val="24"/>
          <w:szCs w:val="24"/>
        </w:rPr>
        <w:t>Przykładem u</w:t>
      </w:r>
      <w:r w:rsidRPr="00F14DFD">
        <w:rPr>
          <w:rFonts w:ascii="Times New Roman" w:eastAsia="Calibri" w:hAnsi="Times New Roman" w:cs="Times New Roman"/>
          <w:sz w:val="24"/>
          <w:szCs w:val="24"/>
        </w:rPr>
        <w:t>zasadnieni</w:t>
      </w:r>
      <w:r>
        <w:rPr>
          <w:rFonts w:ascii="Times New Roman" w:eastAsia="Calibri" w:hAnsi="Times New Roman" w:cs="Times New Roman"/>
          <w:sz w:val="24"/>
          <w:szCs w:val="24"/>
        </w:rPr>
        <w:t>a</w:t>
      </w:r>
      <w:r w:rsidRPr="00F14DFD">
        <w:rPr>
          <w:rFonts w:ascii="Times New Roman" w:eastAsia="Calibri" w:hAnsi="Times New Roman" w:cs="Times New Roman"/>
          <w:sz w:val="24"/>
          <w:szCs w:val="24"/>
        </w:rPr>
        <w:t xml:space="preserve"> dokonania </w:t>
      </w:r>
      <w:r>
        <w:rPr>
          <w:rFonts w:ascii="Times New Roman" w:eastAsia="Calibri" w:hAnsi="Times New Roman" w:cs="Times New Roman"/>
          <w:sz w:val="24"/>
          <w:szCs w:val="24"/>
        </w:rPr>
        <w:t xml:space="preserve">takiej </w:t>
      </w:r>
      <w:r w:rsidRPr="00F14DFD">
        <w:rPr>
          <w:rFonts w:ascii="Times New Roman" w:eastAsia="Calibri" w:hAnsi="Times New Roman" w:cs="Times New Roman"/>
          <w:sz w:val="24"/>
          <w:szCs w:val="24"/>
        </w:rPr>
        <w:t xml:space="preserve">zmiany </w:t>
      </w:r>
      <w:r>
        <w:rPr>
          <w:rFonts w:ascii="Times New Roman" w:eastAsia="Calibri" w:hAnsi="Times New Roman" w:cs="Times New Roman"/>
          <w:sz w:val="24"/>
          <w:szCs w:val="24"/>
        </w:rPr>
        <w:t xml:space="preserve"> jest </w:t>
      </w:r>
      <w:r w:rsidRPr="00F14DFD">
        <w:rPr>
          <w:rFonts w:ascii="Times New Roman" w:eastAsia="Calibri" w:hAnsi="Times New Roman" w:cs="Times New Roman"/>
          <w:sz w:val="24"/>
          <w:szCs w:val="24"/>
        </w:rPr>
        <w:t xml:space="preserve">konieczność dostosowania metody opracowywania wskaźnika referencyjnego do wymogów Rozporządzenia BMR, wytycznych organu nadzoru lub rekomendacji jednostki nadzorczej. Konsekwencją zmiany w metodzie opracowywania wskaźnika referencyjnego może być zmiana jego wartości. Podwyższenie lub obniżenie wartości wskaźnika referencyjnego może wpłynąć na </w:t>
      </w:r>
      <w:r>
        <w:rPr>
          <w:rFonts w:ascii="Times New Roman" w:eastAsia="Calibri" w:hAnsi="Times New Roman" w:cs="Times New Roman"/>
          <w:sz w:val="24"/>
          <w:szCs w:val="24"/>
        </w:rPr>
        <w:t xml:space="preserve">wysokość </w:t>
      </w:r>
      <w:r w:rsidRPr="00F14DFD">
        <w:rPr>
          <w:rFonts w:ascii="Times New Roman" w:eastAsia="Calibri" w:hAnsi="Times New Roman" w:cs="Times New Roman"/>
          <w:sz w:val="24"/>
          <w:szCs w:val="24"/>
        </w:rPr>
        <w:t xml:space="preserve">wzajemnych </w:t>
      </w:r>
      <w:r>
        <w:rPr>
          <w:rFonts w:ascii="Times New Roman" w:eastAsia="Calibri" w:hAnsi="Times New Roman" w:cs="Times New Roman"/>
          <w:sz w:val="24"/>
          <w:szCs w:val="24"/>
        </w:rPr>
        <w:t xml:space="preserve">zobowiązań </w:t>
      </w:r>
      <w:r w:rsidRPr="00F14DFD">
        <w:rPr>
          <w:rFonts w:ascii="Times New Roman" w:eastAsia="Calibri" w:hAnsi="Times New Roman" w:cs="Times New Roman"/>
          <w:sz w:val="24"/>
          <w:szCs w:val="24"/>
        </w:rPr>
        <w:t xml:space="preserve">pomiędzy </w:t>
      </w:r>
      <w:r>
        <w:rPr>
          <w:rFonts w:ascii="Times New Roman" w:eastAsia="Calibri" w:hAnsi="Times New Roman" w:cs="Times New Roman"/>
          <w:sz w:val="24"/>
          <w:szCs w:val="24"/>
        </w:rPr>
        <w:t xml:space="preserve">Klientem </w:t>
      </w:r>
      <w:r w:rsidRPr="00F14DFD">
        <w:rPr>
          <w:rFonts w:ascii="Times New Roman" w:eastAsia="Calibri" w:hAnsi="Times New Roman" w:cs="Times New Roman"/>
          <w:sz w:val="24"/>
          <w:szCs w:val="24"/>
        </w:rPr>
        <w:t xml:space="preserve">a Bankiem </w:t>
      </w:r>
      <w:r>
        <w:rPr>
          <w:rFonts w:ascii="Times New Roman" w:eastAsia="Calibri" w:hAnsi="Times New Roman" w:cs="Times New Roman"/>
          <w:sz w:val="24"/>
          <w:szCs w:val="24"/>
        </w:rPr>
        <w:t xml:space="preserve"> wynikających </w:t>
      </w:r>
      <w:r w:rsidRPr="00F14DFD">
        <w:rPr>
          <w:rFonts w:ascii="Times New Roman" w:eastAsia="Calibri" w:hAnsi="Times New Roman" w:cs="Times New Roman"/>
          <w:sz w:val="24"/>
          <w:szCs w:val="24"/>
        </w:rPr>
        <w:t>z zawart</w:t>
      </w:r>
      <w:r>
        <w:rPr>
          <w:rFonts w:ascii="Times New Roman" w:eastAsia="Calibri" w:hAnsi="Times New Roman" w:cs="Times New Roman"/>
          <w:sz w:val="24"/>
          <w:szCs w:val="24"/>
        </w:rPr>
        <w:t>ej</w:t>
      </w:r>
      <w:r w:rsidRPr="00F14DFD">
        <w:rPr>
          <w:rFonts w:ascii="Times New Roman" w:eastAsia="Calibri" w:hAnsi="Times New Roman" w:cs="Times New Roman"/>
          <w:sz w:val="24"/>
          <w:szCs w:val="24"/>
        </w:rPr>
        <w:t xml:space="preserve"> umow</w:t>
      </w:r>
      <w:r>
        <w:rPr>
          <w:rFonts w:ascii="Times New Roman" w:eastAsia="Calibri" w:hAnsi="Times New Roman" w:cs="Times New Roman"/>
          <w:sz w:val="24"/>
          <w:szCs w:val="24"/>
        </w:rPr>
        <w:t>y</w:t>
      </w:r>
      <w:r w:rsidRPr="00F14DFD">
        <w:rPr>
          <w:rFonts w:ascii="Times New Roman" w:eastAsia="Calibri" w:hAnsi="Times New Roman" w:cs="Times New Roman"/>
          <w:sz w:val="24"/>
          <w:szCs w:val="24"/>
        </w:rPr>
        <w:t xml:space="preserve"> lub </w:t>
      </w:r>
      <w:r>
        <w:rPr>
          <w:rFonts w:ascii="Times New Roman" w:eastAsia="Calibri" w:hAnsi="Times New Roman" w:cs="Times New Roman"/>
          <w:sz w:val="24"/>
          <w:szCs w:val="24"/>
        </w:rPr>
        <w:t xml:space="preserve">może wpłynąć </w:t>
      </w:r>
      <w:r w:rsidRPr="00F14DFD">
        <w:rPr>
          <w:rFonts w:ascii="Times New Roman" w:eastAsia="Calibri" w:hAnsi="Times New Roman" w:cs="Times New Roman"/>
          <w:sz w:val="24"/>
          <w:szCs w:val="24"/>
        </w:rPr>
        <w:t xml:space="preserve">na wycenę posiadanego przez </w:t>
      </w:r>
      <w:r>
        <w:rPr>
          <w:rFonts w:ascii="Times New Roman" w:eastAsia="Calibri" w:hAnsi="Times New Roman" w:cs="Times New Roman"/>
          <w:sz w:val="24"/>
          <w:szCs w:val="24"/>
        </w:rPr>
        <w:t xml:space="preserve">Klienta </w:t>
      </w:r>
      <w:r w:rsidRPr="00F14DFD">
        <w:rPr>
          <w:rFonts w:ascii="Times New Roman" w:eastAsia="Calibri" w:hAnsi="Times New Roman" w:cs="Times New Roman"/>
          <w:sz w:val="24"/>
          <w:szCs w:val="24"/>
        </w:rPr>
        <w:t xml:space="preserve"> instrumentu finansowego.</w:t>
      </w:r>
    </w:p>
    <w:p w14:paraId="727A6054" w14:textId="77777777" w:rsidR="000701E4" w:rsidRDefault="000701E4" w:rsidP="000701E4">
      <w:pPr>
        <w:tabs>
          <w:tab w:val="left" w:pos="964"/>
          <w:tab w:val="left" w:pos="1304"/>
          <w:tab w:val="left" w:pos="1644"/>
          <w:tab w:val="left" w:pos="1985"/>
          <w:tab w:val="left" w:pos="2325"/>
        </w:tabs>
        <w:spacing w:line="264" w:lineRule="auto"/>
        <w:jc w:val="both"/>
        <w:rPr>
          <w:rFonts w:ascii="Calibri" w:hAnsi="Calibri" w:cs="Calibri"/>
        </w:rPr>
      </w:pPr>
    </w:p>
    <w:p w14:paraId="65C00F9A" w14:textId="77777777" w:rsidR="000701E4" w:rsidRPr="00B42A51" w:rsidRDefault="000701E4" w:rsidP="000701E4">
      <w:pPr>
        <w:tabs>
          <w:tab w:val="left" w:pos="964"/>
          <w:tab w:val="left" w:pos="1304"/>
          <w:tab w:val="left" w:pos="1644"/>
          <w:tab w:val="left" w:pos="1985"/>
          <w:tab w:val="left" w:pos="2325"/>
        </w:tabs>
        <w:spacing w:line="264" w:lineRule="auto"/>
        <w:jc w:val="both"/>
        <w:rPr>
          <w:rFonts w:ascii="Calibri" w:hAnsi="Calibri" w:cs="Calibri"/>
        </w:rPr>
      </w:pPr>
    </w:p>
    <w:tbl>
      <w:tblPr>
        <w:tblStyle w:val="Tabela-Siatka"/>
        <w:tblW w:w="0" w:type="auto"/>
        <w:tblInd w:w="-147" w:type="dxa"/>
        <w:tblLook w:val="04A0" w:firstRow="1" w:lastRow="0" w:firstColumn="1" w:lastColumn="0" w:noHBand="0" w:noVBand="1"/>
      </w:tblPr>
      <w:tblGrid>
        <w:gridCol w:w="9209"/>
      </w:tblGrid>
      <w:tr w:rsidR="000701E4" w14:paraId="17E74276" w14:textId="77777777" w:rsidTr="006156BD">
        <w:tc>
          <w:tcPr>
            <w:tcW w:w="9209" w:type="dxa"/>
            <w:shd w:val="clear" w:color="auto" w:fill="D9D9D9" w:themeFill="background1" w:themeFillShade="D9"/>
          </w:tcPr>
          <w:p w14:paraId="5BCE6436" w14:textId="77777777" w:rsidR="000701E4" w:rsidRPr="003D4E7A" w:rsidRDefault="000701E4" w:rsidP="006156BD">
            <w:pPr>
              <w:tabs>
                <w:tab w:val="left" w:pos="964"/>
                <w:tab w:val="left" w:pos="1304"/>
                <w:tab w:val="left" w:pos="1644"/>
                <w:tab w:val="left" w:pos="1985"/>
                <w:tab w:val="left" w:pos="2325"/>
              </w:tabs>
              <w:jc w:val="center"/>
              <w:rPr>
                <w:rFonts w:cs="Calibri"/>
                <w:b/>
                <w:lang w:val="en-US"/>
              </w:rPr>
            </w:pPr>
            <w:r w:rsidRPr="003D4E7A">
              <w:rPr>
                <w:rFonts w:ascii="Times New Roman" w:eastAsia="Calibri" w:hAnsi="Times New Roman" w:cs="Times New Roman"/>
                <w:b/>
                <w:sz w:val="24"/>
                <w:szCs w:val="24"/>
              </w:rPr>
              <w:lastRenderedPageBreak/>
              <w:t>Informacje o wska</w:t>
            </w:r>
            <w:r w:rsidRPr="003D4E7A">
              <w:rPr>
                <w:rFonts w:ascii="Times New Roman" w:eastAsia="Calibri" w:hAnsi="Times New Roman" w:cs="Times New Roman" w:hint="eastAsia"/>
                <w:b/>
                <w:sz w:val="24"/>
                <w:szCs w:val="24"/>
              </w:rPr>
              <w:t>ź</w:t>
            </w:r>
            <w:r w:rsidRPr="003D4E7A">
              <w:rPr>
                <w:rFonts w:ascii="Times New Roman" w:eastAsia="Calibri" w:hAnsi="Times New Roman" w:cs="Times New Roman"/>
                <w:b/>
                <w:sz w:val="24"/>
                <w:szCs w:val="24"/>
              </w:rPr>
              <w:t>niku WIBOR</w:t>
            </w:r>
          </w:p>
        </w:tc>
      </w:tr>
      <w:tr w:rsidR="000701E4" w14:paraId="09146F76" w14:textId="77777777" w:rsidTr="006156BD">
        <w:tc>
          <w:tcPr>
            <w:tcW w:w="9209" w:type="dxa"/>
          </w:tcPr>
          <w:p w14:paraId="1DED705A" w14:textId="77777777" w:rsidR="000701E4" w:rsidRPr="003D4E7A" w:rsidRDefault="000701E4" w:rsidP="006156BD">
            <w:pPr>
              <w:tabs>
                <w:tab w:val="left" w:pos="964"/>
                <w:tab w:val="left" w:pos="1304"/>
                <w:tab w:val="left" w:pos="1644"/>
                <w:tab w:val="left" w:pos="1985"/>
                <w:tab w:val="left" w:pos="2325"/>
              </w:tabs>
              <w:spacing w:after="120"/>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WIBOR jest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nikiem referencyjnym stopy procentowej, zakwalifikowanym jako kluczowy w rozumieniu Rozporz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dzenia BMR, opracowywanym na dzie</w:t>
            </w:r>
            <w:r w:rsidRPr="003D4E7A">
              <w:rPr>
                <w:rFonts w:ascii="Times New Roman" w:eastAsia="Calibri" w:hAnsi="Times New Roman" w:cs="Times New Roman" w:hint="eastAsia"/>
                <w:sz w:val="24"/>
                <w:szCs w:val="24"/>
              </w:rPr>
              <w:t>ń</w:t>
            </w:r>
            <w:r w:rsidRPr="003D4E7A">
              <w:rPr>
                <w:rFonts w:ascii="Times New Roman" w:eastAsia="Calibri" w:hAnsi="Times New Roman" w:cs="Times New Roman"/>
                <w:sz w:val="24"/>
                <w:szCs w:val="24"/>
              </w:rPr>
              <w:t xml:space="preserve"> przekazania dokumentu informacyjnego przez GPW Benchmark S.A. Wraz z WIBOR Administrator opracowuje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 xml:space="preserve">nik referencyjny stopy procentowej WIBID. </w:t>
            </w:r>
          </w:p>
          <w:p w14:paraId="38FBEB1D" w14:textId="77777777" w:rsidR="000701E4" w:rsidRPr="00C06A84" w:rsidRDefault="000701E4" w:rsidP="006156BD">
            <w:pPr>
              <w:tabs>
                <w:tab w:val="left" w:pos="964"/>
                <w:tab w:val="left" w:pos="1304"/>
                <w:tab w:val="left" w:pos="1644"/>
                <w:tab w:val="left" w:pos="1985"/>
                <w:tab w:val="left" w:pos="2325"/>
              </w:tabs>
              <w:spacing w:after="120"/>
              <w:jc w:val="both"/>
              <w:rPr>
                <w:rFonts w:cs="Calibri"/>
              </w:rPr>
            </w:pPr>
            <w:r w:rsidRPr="003D4E7A">
              <w:rPr>
                <w:rFonts w:ascii="Times New Roman" w:eastAsia="Calibri" w:hAnsi="Times New Roman" w:cs="Times New Roman"/>
                <w:sz w:val="24"/>
                <w:szCs w:val="24"/>
              </w:rPr>
              <w:t>WIBOR wraz z WIBID opracowywane s</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 xml:space="preserve"> wed</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ug metody samodzielnie okre</w:t>
            </w:r>
            <w:r w:rsidRPr="003D4E7A">
              <w:rPr>
                <w:rFonts w:ascii="Times New Roman" w:eastAsia="Calibri" w:hAnsi="Times New Roman" w:cs="Times New Roman" w:hint="eastAsia"/>
                <w:sz w:val="24"/>
                <w:szCs w:val="24"/>
              </w:rPr>
              <w:t>ś</w:t>
            </w:r>
            <w:r w:rsidRPr="003D4E7A">
              <w:rPr>
                <w:rFonts w:ascii="Times New Roman" w:eastAsia="Calibri" w:hAnsi="Times New Roman" w:cs="Times New Roman"/>
                <w:sz w:val="24"/>
                <w:szCs w:val="24"/>
              </w:rPr>
              <w:t>lonej przez GPW Benchmark S.A. pod</w:t>
            </w:r>
            <w:r w:rsidRPr="003D4E7A">
              <w:rPr>
                <w:rFonts w:ascii="Times New Roman" w:eastAsia="Calibri" w:hAnsi="Times New Roman" w:cs="Times New Roman" w:hint="eastAsia"/>
                <w:sz w:val="24"/>
                <w:szCs w:val="24"/>
              </w:rPr>
              <w:t> </w:t>
            </w:r>
            <w:r w:rsidRPr="003D4E7A">
              <w:rPr>
                <w:rFonts w:ascii="Times New Roman" w:eastAsia="Calibri" w:hAnsi="Times New Roman" w:cs="Times New Roman"/>
                <w:sz w:val="24"/>
                <w:szCs w:val="24"/>
              </w:rPr>
              <w:t>nadzorem Komisji Nadzoru Finansowego. Szczeg</w:t>
            </w:r>
            <w:r w:rsidRPr="003D4E7A">
              <w:rPr>
                <w:rFonts w:ascii="Times New Roman" w:eastAsia="Calibri" w:hAnsi="Times New Roman" w:cs="Times New Roman" w:hint="eastAsia"/>
                <w:sz w:val="24"/>
                <w:szCs w:val="24"/>
              </w:rPr>
              <w:t>ół</w:t>
            </w:r>
            <w:r w:rsidRPr="003D4E7A">
              <w:rPr>
                <w:rFonts w:ascii="Times New Roman" w:eastAsia="Calibri" w:hAnsi="Times New Roman" w:cs="Times New Roman"/>
                <w:sz w:val="24"/>
                <w:szCs w:val="24"/>
              </w:rPr>
              <w:t>y dotycz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ce WIBOR/WIBID, w tym opis metody jego opracowywania zasady dotycz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ce wprowadzania przez administratora istotnej zmiany metody, kluczowe informacje na temat tych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w, w tym godziny ich publikacji, informacje o ich warto</w:t>
            </w:r>
            <w:r w:rsidRPr="003D4E7A">
              <w:rPr>
                <w:rFonts w:ascii="Times New Roman" w:eastAsia="Calibri" w:hAnsi="Times New Roman" w:cs="Times New Roman" w:hint="eastAsia"/>
                <w:sz w:val="24"/>
                <w:szCs w:val="24"/>
              </w:rPr>
              <w:t>ś</w:t>
            </w:r>
            <w:r w:rsidRPr="003D4E7A">
              <w:rPr>
                <w:rFonts w:ascii="Times New Roman" w:eastAsia="Calibri" w:hAnsi="Times New Roman" w:cs="Times New Roman"/>
                <w:sz w:val="24"/>
                <w:szCs w:val="24"/>
              </w:rPr>
              <w:t>ci oraz procedury dotycz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ce przyjmowania i rozpatrywania skarg dotycz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cych procesu jego wyznaczania GPW Benchmark S.A. opublikowa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 xml:space="preserve"> na stronie internetowej pod adresem</w:t>
            </w:r>
            <w:r w:rsidRPr="00C06A84">
              <w:rPr>
                <w:rFonts w:cs="Calibri"/>
              </w:rPr>
              <w:t xml:space="preserve">: </w:t>
            </w:r>
            <w:hyperlink r:id="rId7" w:history="1">
              <w:r w:rsidRPr="00C06A84">
                <w:rPr>
                  <w:rStyle w:val="Hipercze"/>
                  <w:rFonts w:cs="Calibri"/>
                </w:rPr>
                <w:t>www.gpwbenchmark.pl/</w:t>
              </w:r>
            </w:hyperlink>
            <w:r w:rsidRPr="00C06A84">
              <w:rPr>
                <w:rFonts w:cs="Calibri"/>
              </w:rPr>
              <w:t>.</w:t>
            </w:r>
          </w:p>
          <w:p w14:paraId="337776C7" w14:textId="77777777" w:rsidR="000701E4" w:rsidRPr="00047D62" w:rsidRDefault="000701E4" w:rsidP="006156BD">
            <w:pPr>
              <w:tabs>
                <w:tab w:val="left" w:pos="964"/>
                <w:tab w:val="left" w:pos="1304"/>
                <w:tab w:val="left" w:pos="1644"/>
                <w:tab w:val="left" w:pos="1985"/>
                <w:tab w:val="left" w:pos="2325"/>
              </w:tabs>
              <w:spacing w:after="120"/>
              <w:jc w:val="both"/>
              <w:rPr>
                <w:rFonts w:cs="Calibri"/>
              </w:rPr>
            </w:pPr>
            <w:r w:rsidRPr="003D4E7A">
              <w:rPr>
                <w:rFonts w:ascii="Times New Roman" w:eastAsia="Calibri" w:hAnsi="Times New Roman" w:cs="Times New Roman"/>
                <w:sz w:val="24"/>
                <w:szCs w:val="24"/>
              </w:rPr>
              <w:t>W dniu 16 grudnia 2020 r. KNF wyda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a zezwolenie na prowadzenie przez GPW Benchmark S.A. dzia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alno</w:t>
            </w:r>
            <w:r w:rsidRPr="003D4E7A">
              <w:rPr>
                <w:rFonts w:ascii="Times New Roman" w:eastAsia="Calibri" w:hAnsi="Times New Roman" w:cs="Times New Roman" w:hint="eastAsia"/>
                <w:sz w:val="24"/>
                <w:szCs w:val="24"/>
              </w:rPr>
              <w:t>ś</w:t>
            </w:r>
            <w:r w:rsidRPr="003D4E7A">
              <w:rPr>
                <w:rFonts w:ascii="Times New Roman" w:eastAsia="Calibri" w:hAnsi="Times New Roman" w:cs="Times New Roman"/>
                <w:sz w:val="24"/>
                <w:szCs w:val="24"/>
              </w:rPr>
              <w:t>ci jako administrator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w referencyjnych st</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p procentowych, w tym kluczowych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 xml:space="preserve">w referencyjnych. Wydanie przez KNF zezwolenia dla GPW Benchmark S.A. oznacza, </w:t>
            </w:r>
            <w:r w:rsidRPr="003D4E7A">
              <w:rPr>
                <w:rFonts w:ascii="Times New Roman" w:eastAsia="Calibri" w:hAnsi="Times New Roman" w:cs="Times New Roman" w:hint="eastAsia"/>
                <w:sz w:val="24"/>
                <w:szCs w:val="24"/>
              </w:rPr>
              <w:t>ż</w:t>
            </w:r>
            <w:r w:rsidRPr="003D4E7A">
              <w:rPr>
                <w:rFonts w:ascii="Times New Roman" w:eastAsia="Calibri" w:hAnsi="Times New Roman" w:cs="Times New Roman"/>
                <w:sz w:val="24"/>
                <w:szCs w:val="24"/>
              </w:rPr>
              <w:t>e organ nadzoru finansowego uzna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 xml:space="preserve"> proces wyznaczania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nika referencyjnego WIBOR/WIBID za zgodny z wymaganiami na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o</w:t>
            </w:r>
            <w:r w:rsidRPr="003D4E7A">
              <w:rPr>
                <w:rFonts w:ascii="Times New Roman" w:eastAsia="Calibri" w:hAnsi="Times New Roman" w:cs="Times New Roman" w:hint="eastAsia"/>
                <w:sz w:val="24"/>
                <w:szCs w:val="24"/>
              </w:rPr>
              <w:t>ż</w:t>
            </w:r>
            <w:r w:rsidRPr="003D4E7A">
              <w:rPr>
                <w:rFonts w:ascii="Times New Roman" w:eastAsia="Calibri" w:hAnsi="Times New Roman" w:cs="Times New Roman"/>
                <w:sz w:val="24"/>
                <w:szCs w:val="24"/>
              </w:rPr>
              <w:t>onymi przez Rozporz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dzenie BMR. W zwi</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zku z otrzymaniem zezwolenia, GPW</w:t>
            </w:r>
            <w:r w:rsidRPr="003D4E7A">
              <w:rPr>
                <w:rFonts w:ascii="Times New Roman" w:eastAsia="Calibri" w:hAnsi="Times New Roman" w:cs="Times New Roman" w:hint="eastAsia"/>
                <w:sz w:val="24"/>
                <w:szCs w:val="24"/>
              </w:rPr>
              <w:t> </w:t>
            </w:r>
            <w:r w:rsidRPr="003D4E7A">
              <w:rPr>
                <w:rFonts w:ascii="Times New Roman" w:eastAsia="Calibri" w:hAnsi="Times New Roman" w:cs="Times New Roman"/>
                <w:sz w:val="24"/>
                <w:szCs w:val="24"/>
              </w:rPr>
              <w:t>Benchmark S.A. opublikowa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 xml:space="preserve"> o</w:t>
            </w:r>
            <w:r w:rsidRPr="003D4E7A">
              <w:rPr>
                <w:rFonts w:ascii="Times New Roman" w:eastAsia="Calibri" w:hAnsi="Times New Roman" w:cs="Times New Roman" w:hint="eastAsia"/>
                <w:sz w:val="24"/>
                <w:szCs w:val="24"/>
              </w:rPr>
              <w:t>ś</w:t>
            </w:r>
            <w:r w:rsidRPr="003D4E7A">
              <w:rPr>
                <w:rFonts w:ascii="Times New Roman" w:eastAsia="Calibri" w:hAnsi="Times New Roman" w:cs="Times New Roman"/>
                <w:sz w:val="24"/>
                <w:szCs w:val="24"/>
              </w:rPr>
              <w:t>wiadczenie dot. WIBID i WIBOR, o kt</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rym mowa w art. 27 Rozporz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 xml:space="preserve">dzenia BMR (tzw. benchmark </w:t>
            </w:r>
            <w:proofErr w:type="spellStart"/>
            <w:r w:rsidRPr="003D4E7A">
              <w:rPr>
                <w:rFonts w:ascii="Times New Roman" w:eastAsia="Calibri" w:hAnsi="Times New Roman" w:cs="Times New Roman"/>
                <w:sz w:val="24"/>
                <w:szCs w:val="24"/>
              </w:rPr>
              <w:t>statement</w:t>
            </w:r>
            <w:proofErr w:type="spellEnd"/>
            <w:r w:rsidRPr="003D4E7A">
              <w:rPr>
                <w:rFonts w:ascii="Times New Roman" w:eastAsia="Calibri" w:hAnsi="Times New Roman" w:cs="Times New Roman"/>
                <w:sz w:val="24"/>
                <w:szCs w:val="24"/>
              </w:rPr>
              <w:t>), zawieraj</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ce kluczowe informacje o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nikach WIBID i WIBOR.</w:t>
            </w:r>
            <w:r w:rsidRPr="003D4E7A">
              <w:rPr>
                <w:rFonts w:ascii="Times New Roman" w:eastAsia="Calibri" w:hAnsi="Times New Roman" w:cs="Times New Roman"/>
                <w:sz w:val="24"/>
                <w:szCs w:val="24"/>
              </w:rPr>
              <w:footnoteReference w:id="2"/>
            </w:r>
            <w:r w:rsidRPr="003D4E7A">
              <w:rPr>
                <w:rFonts w:ascii="Times New Roman" w:eastAsia="Calibri" w:hAnsi="Times New Roman" w:cs="Times New Roman"/>
                <w:sz w:val="24"/>
                <w:szCs w:val="24"/>
              </w:rPr>
              <w:t>. Na podstawie otrzymanego zezwolenia GPWB zosta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a uprawniona do opracowywania innych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w st</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p procentowych, kt</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rych proces wyznaczania b</w:t>
            </w:r>
            <w:r w:rsidRPr="003D4E7A">
              <w:rPr>
                <w:rFonts w:ascii="Times New Roman" w:eastAsia="Calibri" w:hAnsi="Times New Roman" w:cs="Times New Roman" w:hint="eastAsia"/>
                <w:sz w:val="24"/>
                <w:szCs w:val="24"/>
              </w:rPr>
              <w:t>ę</w:t>
            </w:r>
            <w:r w:rsidRPr="003D4E7A">
              <w:rPr>
                <w:rFonts w:ascii="Times New Roman" w:eastAsia="Calibri" w:hAnsi="Times New Roman" w:cs="Times New Roman"/>
                <w:sz w:val="24"/>
                <w:szCs w:val="24"/>
              </w:rPr>
              <w:t>dzie odbywa</w:t>
            </w:r>
            <w:r w:rsidRPr="003D4E7A">
              <w:rPr>
                <w:rFonts w:ascii="Times New Roman" w:eastAsia="Calibri" w:hAnsi="Times New Roman" w:cs="Times New Roman" w:hint="eastAsia"/>
                <w:sz w:val="24"/>
                <w:szCs w:val="24"/>
              </w:rPr>
              <w:t>ć</w:t>
            </w:r>
            <w:r w:rsidRPr="003D4E7A">
              <w:rPr>
                <w:rFonts w:ascii="Times New Roman" w:eastAsia="Calibri" w:hAnsi="Times New Roman" w:cs="Times New Roman"/>
                <w:sz w:val="24"/>
                <w:szCs w:val="24"/>
              </w:rPr>
              <w:t xml:space="preserve"> si</w:t>
            </w:r>
            <w:r w:rsidRPr="003D4E7A">
              <w:rPr>
                <w:rFonts w:ascii="Times New Roman" w:eastAsia="Calibri" w:hAnsi="Times New Roman" w:cs="Times New Roman" w:hint="eastAsia"/>
                <w:sz w:val="24"/>
                <w:szCs w:val="24"/>
              </w:rPr>
              <w:t>ę</w:t>
            </w:r>
            <w:r w:rsidRPr="003D4E7A">
              <w:rPr>
                <w:rFonts w:ascii="Times New Roman" w:eastAsia="Calibri" w:hAnsi="Times New Roman" w:cs="Times New Roman"/>
                <w:sz w:val="24"/>
                <w:szCs w:val="24"/>
              </w:rPr>
              <w:t xml:space="preserve"> zgodnie z wymogami Rozporz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dzenia BMR.</w:t>
            </w:r>
          </w:p>
        </w:tc>
      </w:tr>
      <w:tr w:rsidR="000701E4" w14:paraId="09F2C5D6" w14:textId="77777777" w:rsidTr="006156BD">
        <w:tc>
          <w:tcPr>
            <w:tcW w:w="9209" w:type="dxa"/>
          </w:tcPr>
          <w:p w14:paraId="7004BA10" w14:textId="77777777" w:rsidR="000701E4" w:rsidRPr="003D4E7A" w:rsidRDefault="000701E4" w:rsidP="006156BD">
            <w:pPr>
              <w:spacing w:after="120"/>
              <w:jc w:val="both"/>
              <w:outlineLvl w:val="1"/>
              <w:rPr>
                <w:rFonts w:ascii="Times New Roman" w:eastAsia="Calibri" w:hAnsi="Times New Roman" w:cs="Times New Roman"/>
                <w:sz w:val="24"/>
                <w:szCs w:val="24"/>
              </w:rPr>
            </w:pPr>
            <w:r w:rsidRPr="003D4E7A">
              <w:rPr>
                <w:rFonts w:ascii="Times New Roman" w:eastAsia="Calibri" w:hAnsi="Times New Roman" w:cs="Times New Roman"/>
                <w:sz w:val="24"/>
                <w:szCs w:val="24"/>
              </w:rPr>
              <w:t>Z dniem 13 lipca 2022 r. zosta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a powo</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ana przez Komisj</w:t>
            </w:r>
            <w:r w:rsidRPr="003D4E7A">
              <w:rPr>
                <w:rFonts w:ascii="Times New Roman" w:eastAsia="Calibri" w:hAnsi="Times New Roman" w:cs="Times New Roman" w:hint="eastAsia"/>
                <w:sz w:val="24"/>
                <w:szCs w:val="24"/>
              </w:rPr>
              <w:t>ę</w:t>
            </w:r>
            <w:r w:rsidRPr="003D4E7A">
              <w:rPr>
                <w:rFonts w:ascii="Times New Roman" w:eastAsia="Calibri" w:hAnsi="Times New Roman" w:cs="Times New Roman"/>
                <w:sz w:val="24"/>
                <w:szCs w:val="24"/>
              </w:rPr>
              <w:t xml:space="preserve"> Nadzoru Finansowego Narodowa Grupa Robocza do spraw reformy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w referencyjnych (</w:t>
            </w:r>
            <w:r w:rsidRPr="003D4E7A">
              <w:rPr>
                <w:rFonts w:ascii="Times New Roman" w:eastAsia="Calibri" w:hAnsi="Times New Roman" w:cs="Times New Roman" w:hint="eastAsia"/>
                <w:sz w:val="24"/>
                <w:szCs w:val="24"/>
              </w:rPr>
              <w:t>„</w:t>
            </w:r>
            <w:r w:rsidRPr="003D4E7A">
              <w:rPr>
                <w:rFonts w:ascii="Times New Roman" w:eastAsia="Calibri" w:hAnsi="Times New Roman" w:cs="Times New Roman"/>
                <w:sz w:val="24"/>
                <w:szCs w:val="24"/>
              </w:rPr>
              <w:t>NGR</w:t>
            </w:r>
            <w:r w:rsidRPr="003D4E7A">
              <w:rPr>
                <w:rFonts w:ascii="Times New Roman" w:eastAsia="Calibri" w:hAnsi="Times New Roman" w:cs="Times New Roman" w:hint="eastAsia"/>
                <w:sz w:val="24"/>
                <w:szCs w:val="24"/>
              </w:rPr>
              <w:t>”</w:t>
            </w:r>
            <w:r w:rsidRPr="003D4E7A">
              <w:rPr>
                <w:rFonts w:ascii="Times New Roman" w:eastAsia="Calibri" w:hAnsi="Times New Roman" w:cs="Times New Roman"/>
                <w:sz w:val="24"/>
                <w:szCs w:val="24"/>
              </w:rPr>
              <w:t>). NGR jest nadzorowana i koordynowana przez Komitet Steruj</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cy, w kt</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rego sk</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ad wchodz</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 xml:space="preserve"> przedstawiciele kluczowych instytucji: Komisji Nadzoru Finansowego, Narodowego Banku Polskiego, Ministerstwa Finans</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w, Bankowego Funduszu Gwarancyjnego, Polskiego Funduszu Rozwoju, a tak</w:t>
            </w:r>
            <w:r w:rsidRPr="003D4E7A">
              <w:rPr>
                <w:rFonts w:ascii="Times New Roman" w:eastAsia="Calibri" w:hAnsi="Times New Roman" w:cs="Times New Roman" w:hint="eastAsia"/>
                <w:sz w:val="24"/>
                <w:szCs w:val="24"/>
              </w:rPr>
              <w:t>ż</w:t>
            </w:r>
            <w:r w:rsidRPr="003D4E7A">
              <w:rPr>
                <w:rFonts w:ascii="Times New Roman" w:eastAsia="Calibri" w:hAnsi="Times New Roman" w:cs="Times New Roman"/>
                <w:sz w:val="24"/>
                <w:szCs w:val="24"/>
              </w:rPr>
              <w:t>e GPW Benchmark S.A. i rotacyjnego przedstawiciela sektora bankowego. Zadaniem NGR jest przygotowanie procesu skutecznego wdro</w:t>
            </w:r>
            <w:r w:rsidRPr="003D4E7A">
              <w:rPr>
                <w:rFonts w:ascii="Times New Roman" w:eastAsia="Calibri" w:hAnsi="Times New Roman" w:cs="Times New Roman" w:hint="eastAsia"/>
                <w:sz w:val="24"/>
                <w:szCs w:val="24"/>
              </w:rPr>
              <w:t>ż</w:t>
            </w:r>
            <w:r w:rsidRPr="003D4E7A">
              <w:rPr>
                <w:rFonts w:ascii="Times New Roman" w:eastAsia="Calibri" w:hAnsi="Times New Roman" w:cs="Times New Roman"/>
                <w:sz w:val="24"/>
                <w:szCs w:val="24"/>
              </w:rPr>
              <w:t>enia nowego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nika typu RFR na polskim rynku finansowym oraz zast</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pienia nim stosowanych obecnie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w referencyjnych stopy procentowej WIBOR i WIBID.</w:t>
            </w:r>
          </w:p>
          <w:p w14:paraId="0062DA7F" w14:textId="77777777" w:rsidR="000701E4" w:rsidRPr="003D4E7A" w:rsidRDefault="000701E4" w:rsidP="006156BD">
            <w:pPr>
              <w:spacing w:after="120"/>
              <w:jc w:val="both"/>
              <w:outlineLvl w:val="1"/>
              <w:rPr>
                <w:rFonts w:ascii="Times New Roman" w:eastAsia="Calibri" w:hAnsi="Times New Roman" w:cs="Times New Roman"/>
                <w:sz w:val="24"/>
                <w:szCs w:val="24"/>
              </w:rPr>
            </w:pPr>
            <w:r w:rsidRPr="003D4E7A">
              <w:rPr>
                <w:rFonts w:ascii="Times New Roman" w:eastAsia="Calibri" w:hAnsi="Times New Roman" w:cs="Times New Roman"/>
                <w:sz w:val="24"/>
                <w:szCs w:val="24"/>
              </w:rPr>
              <w:t>Po przeprowadzeniu konsultacji spo</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ecznych, we wrze</w:t>
            </w:r>
            <w:r w:rsidRPr="003D4E7A">
              <w:rPr>
                <w:rFonts w:ascii="Times New Roman" w:eastAsia="Calibri" w:hAnsi="Times New Roman" w:cs="Times New Roman" w:hint="eastAsia"/>
                <w:sz w:val="24"/>
                <w:szCs w:val="24"/>
              </w:rPr>
              <w:t>ś</w:t>
            </w:r>
            <w:r w:rsidRPr="003D4E7A">
              <w:rPr>
                <w:rFonts w:ascii="Times New Roman" w:eastAsia="Calibri" w:hAnsi="Times New Roman" w:cs="Times New Roman"/>
                <w:sz w:val="24"/>
                <w:szCs w:val="24"/>
              </w:rPr>
              <w:t>niu 2022 r., Komitet Steruj</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cy NGR dokona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 xml:space="preserve"> wyboru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nika alternatywnego, maj</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cego zast</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pi</w:t>
            </w:r>
            <w:r w:rsidRPr="003D4E7A">
              <w:rPr>
                <w:rFonts w:ascii="Times New Roman" w:eastAsia="Calibri" w:hAnsi="Times New Roman" w:cs="Times New Roman" w:hint="eastAsia"/>
                <w:sz w:val="24"/>
                <w:szCs w:val="24"/>
              </w:rPr>
              <w:t>ć</w:t>
            </w:r>
            <w:r w:rsidRPr="003D4E7A">
              <w:rPr>
                <w:rFonts w:ascii="Times New Roman" w:eastAsia="Calibri" w:hAnsi="Times New Roman" w:cs="Times New Roman"/>
                <w:sz w:val="24"/>
                <w:szCs w:val="24"/>
              </w:rPr>
              <w:t xml:space="preserve"> w przysz</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o</w:t>
            </w:r>
            <w:r w:rsidRPr="003D4E7A">
              <w:rPr>
                <w:rFonts w:ascii="Times New Roman" w:eastAsia="Calibri" w:hAnsi="Times New Roman" w:cs="Times New Roman" w:hint="eastAsia"/>
                <w:sz w:val="24"/>
                <w:szCs w:val="24"/>
              </w:rPr>
              <w:t>ś</w:t>
            </w:r>
            <w:r w:rsidRPr="003D4E7A">
              <w:rPr>
                <w:rFonts w:ascii="Times New Roman" w:eastAsia="Calibri" w:hAnsi="Times New Roman" w:cs="Times New Roman"/>
                <w:sz w:val="24"/>
                <w:szCs w:val="24"/>
              </w:rPr>
              <w:t>ci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niki WIBOR i WIBID. Nowym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nikiem alternatywnym zosta</w:t>
            </w:r>
            <w:r w:rsidRPr="003D4E7A">
              <w:rPr>
                <w:rFonts w:ascii="Times New Roman" w:eastAsia="Calibri" w:hAnsi="Times New Roman" w:cs="Times New Roman" w:hint="eastAsia"/>
                <w:sz w:val="24"/>
                <w:szCs w:val="24"/>
              </w:rPr>
              <w:t>ł</w:t>
            </w:r>
            <w:r w:rsidRPr="003D4E7A">
              <w:rPr>
                <w:rFonts w:ascii="Times New Roman" w:eastAsia="Calibri" w:hAnsi="Times New Roman" w:cs="Times New Roman"/>
                <w:sz w:val="24"/>
                <w:szCs w:val="24"/>
              </w:rPr>
              <w:t xml:space="preserve"> indeks WIRON.</w:t>
            </w:r>
          </w:p>
          <w:p w14:paraId="6B64F627" w14:textId="77777777" w:rsidR="000701E4" w:rsidRPr="003D4E7A" w:rsidRDefault="000701E4" w:rsidP="006156BD">
            <w:pPr>
              <w:spacing w:after="120"/>
              <w:jc w:val="both"/>
              <w:outlineLvl w:val="1"/>
              <w:rPr>
                <w:rFonts w:ascii="Times New Roman" w:eastAsia="Calibri" w:hAnsi="Times New Roman" w:cs="Times New Roman"/>
                <w:sz w:val="24"/>
                <w:szCs w:val="24"/>
              </w:rPr>
            </w:pPr>
            <w:r w:rsidRPr="003D4E7A">
              <w:rPr>
                <w:rFonts w:ascii="Times New Roman" w:eastAsia="Calibri" w:hAnsi="Times New Roman" w:cs="Times New Roman"/>
                <w:sz w:val="24"/>
                <w:szCs w:val="24"/>
              </w:rPr>
              <w:t>W dniu 27 wrze</w:t>
            </w:r>
            <w:r w:rsidRPr="003D4E7A">
              <w:rPr>
                <w:rFonts w:ascii="Times New Roman" w:eastAsia="Calibri" w:hAnsi="Times New Roman" w:cs="Times New Roman" w:hint="eastAsia"/>
                <w:sz w:val="24"/>
                <w:szCs w:val="24"/>
              </w:rPr>
              <w:t>ś</w:t>
            </w:r>
            <w:r w:rsidRPr="003D4E7A">
              <w:rPr>
                <w:rFonts w:ascii="Times New Roman" w:eastAsia="Calibri" w:hAnsi="Times New Roman" w:cs="Times New Roman"/>
                <w:sz w:val="24"/>
                <w:szCs w:val="24"/>
              </w:rPr>
              <w:t>nia 2022 r. NGR przyj</w:t>
            </w:r>
            <w:r w:rsidRPr="003D4E7A">
              <w:rPr>
                <w:rFonts w:ascii="Times New Roman" w:eastAsia="Calibri" w:hAnsi="Times New Roman" w:cs="Times New Roman" w:hint="eastAsia"/>
                <w:sz w:val="24"/>
                <w:szCs w:val="24"/>
              </w:rPr>
              <w:t>ęł</w:t>
            </w:r>
            <w:r w:rsidRPr="003D4E7A">
              <w:rPr>
                <w:rFonts w:ascii="Times New Roman" w:eastAsia="Calibri" w:hAnsi="Times New Roman" w:cs="Times New Roman"/>
                <w:sz w:val="24"/>
                <w:szCs w:val="24"/>
              </w:rPr>
              <w:t xml:space="preserve">a </w:t>
            </w:r>
            <w:r w:rsidRPr="003D4E7A">
              <w:rPr>
                <w:rFonts w:ascii="Times New Roman" w:eastAsia="Calibri" w:hAnsi="Times New Roman" w:cs="Times New Roman" w:hint="eastAsia"/>
                <w:sz w:val="24"/>
                <w:szCs w:val="24"/>
              </w:rPr>
              <w:t>„</w:t>
            </w:r>
            <w:r w:rsidRPr="003D4E7A">
              <w:rPr>
                <w:rFonts w:ascii="Times New Roman" w:eastAsia="Calibri" w:hAnsi="Times New Roman" w:cs="Times New Roman"/>
                <w:sz w:val="24"/>
                <w:szCs w:val="24"/>
              </w:rPr>
              <w:t>Map</w:t>
            </w:r>
            <w:r w:rsidRPr="003D4E7A">
              <w:rPr>
                <w:rFonts w:ascii="Times New Roman" w:eastAsia="Calibri" w:hAnsi="Times New Roman" w:cs="Times New Roman" w:hint="eastAsia"/>
                <w:sz w:val="24"/>
                <w:szCs w:val="24"/>
              </w:rPr>
              <w:t>ę</w:t>
            </w:r>
            <w:r w:rsidRPr="003D4E7A">
              <w:rPr>
                <w:rFonts w:ascii="Times New Roman" w:eastAsia="Calibri" w:hAnsi="Times New Roman" w:cs="Times New Roman"/>
                <w:sz w:val="24"/>
                <w:szCs w:val="24"/>
              </w:rPr>
              <w:t xml:space="preserve"> Drogow</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 xml:space="preserve"> procesu zast</w:t>
            </w:r>
            <w:r w:rsidRPr="003D4E7A">
              <w:rPr>
                <w:rFonts w:ascii="Times New Roman" w:eastAsia="Calibri" w:hAnsi="Times New Roman" w:cs="Times New Roman" w:hint="eastAsia"/>
                <w:sz w:val="24"/>
                <w:szCs w:val="24"/>
              </w:rPr>
              <w:t>ą</w:t>
            </w:r>
            <w:r w:rsidRPr="003D4E7A">
              <w:rPr>
                <w:rFonts w:ascii="Times New Roman" w:eastAsia="Calibri" w:hAnsi="Times New Roman" w:cs="Times New Roman"/>
                <w:sz w:val="24"/>
                <w:szCs w:val="24"/>
              </w:rPr>
              <w:t>pienia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w:t>
            </w:r>
            <w:r w:rsidRPr="003D4E7A">
              <w:rPr>
                <w:rFonts w:ascii="Times New Roman" w:eastAsia="Calibri" w:hAnsi="Times New Roman" w:cs="Times New Roman" w:hint="eastAsia"/>
                <w:sz w:val="24"/>
                <w:szCs w:val="24"/>
              </w:rPr>
              <w:t>ó</w:t>
            </w:r>
            <w:r w:rsidRPr="003D4E7A">
              <w:rPr>
                <w:rFonts w:ascii="Times New Roman" w:eastAsia="Calibri" w:hAnsi="Times New Roman" w:cs="Times New Roman"/>
                <w:sz w:val="24"/>
                <w:szCs w:val="24"/>
              </w:rPr>
              <w:t>w referencyjnych WIBOR i WIBID przez indeks WIRON</w:t>
            </w:r>
            <w:r w:rsidRPr="003D4E7A">
              <w:rPr>
                <w:rFonts w:ascii="Times New Roman" w:eastAsia="Calibri" w:hAnsi="Times New Roman" w:cs="Times New Roman" w:hint="eastAsia"/>
                <w:sz w:val="24"/>
                <w:szCs w:val="24"/>
              </w:rPr>
              <w:t>”</w:t>
            </w:r>
            <w:r w:rsidRPr="003D4E7A">
              <w:rPr>
                <w:rFonts w:ascii="Times New Roman" w:eastAsia="Calibri" w:hAnsi="Times New Roman" w:cs="Times New Roman"/>
                <w:sz w:val="24"/>
                <w:szCs w:val="24"/>
              </w:rPr>
              <w:t>.</w:t>
            </w:r>
          </w:p>
          <w:p w14:paraId="1B4422F8" w14:textId="77777777" w:rsidR="000701E4" w:rsidRPr="0050664E" w:rsidRDefault="000701E4" w:rsidP="006156BD">
            <w:pPr>
              <w:spacing w:after="120"/>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W 2024 roku Komitet Sterujący NGR przeprowadził kolejne konsultacje publiczne, w ramach których ponowiono analizę WIRON i innych wskaźników alternatywnych dla WIBOR. W wyniku tych konsultacji, 10 grudnia 2024 roku Komitet Steruj</w:t>
            </w:r>
            <w:r w:rsidRPr="0050664E">
              <w:rPr>
                <w:rFonts w:ascii="Times New Roman" w:eastAsia="Calibri" w:hAnsi="Times New Roman" w:cs="Times New Roman" w:hint="eastAsia"/>
                <w:sz w:val="24"/>
                <w:szCs w:val="24"/>
              </w:rPr>
              <w:t>ą</w:t>
            </w:r>
            <w:r w:rsidRPr="0050664E">
              <w:rPr>
                <w:rFonts w:ascii="Times New Roman" w:eastAsia="Calibri" w:hAnsi="Times New Roman" w:cs="Times New Roman"/>
                <w:sz w:val="24"/>
                <w:szCs w:val="24"/>
              </w:rPr>
              <w:t xml:space="preserve">cy NGR ogłosił o wyborze indeksu o technicznej nazwie </w:t>
            </w:r>
            <w:r w:rsidRPr="0050664E">
              <w:rPr>
                <w:rFonts w:ascii="Times New Roman" w:eastAsia="Calibri" w:hAnsi="Times New Roman" w:cs="Times New Roman" w:hint="eastAsia"/>
                <w:sz w:val="24"/>
                <w:szCs w:val="24"/>
              </w:rPr>
              <w:t>„</w:t>
            </w:r>
            <w:r w:rsidRPr="0050664E">
              <w:rPr>
                <w:rFonts w:ascii="Times New Roman" w:eastAsia="Calibri" w:hAnsi="Times New Roman" w:cs="Times New Roman"/>
                <w:sz w:val="24"/>
                <w:szCs w:val="24"/>
              </w:rPr>
              <w:t>WIRF- jako docelowego wska</w:t>
            </w:r>
            <w:r w:rsidRPr="0050664E">
              <w:rPr>
                <w:rFonts w:ascii="Times New Roman" w:eastAsia="Calibri" w:hAnsi="Times New Roman" w:cs="Times New Roman" w:hint="eastAsia"/>
                <w:sz w:val="24"/>
                <w:szCs w:val="24"/>
              </w:rPr>
              <w:t>ź</w:t>
            </w:r>
            <w:r w:rsidRPr="0050664E">
              <w:rPr>
                <w:rFonts w:ascii="Times New Roman" w:eastAsia="Calibri" w:hAnsi="Times New Roman" w:cs="Times New Roman"/>
                <w:sz w:val="24"/>
                <w:szCs w:val="24"/>
              </w:rPr>
              <w:t>nika, kt</w:t>
            </w:r>
            <w:r w:rsidRPr="0050664E">
              <w:rPr>
                <w:rFonts w:ascii="Times New Roman" w:eastAsia="Calibri" w:hAnsi="Times New Roman" w:cs="Times New Roman" w:hint="eastAsia"/>
                <w:sz w:val="24"/>
                <w:szCs w:val="24"/>
              </w:rPr>
              <w:t>ó</w:t>
            </w:r>
            <w:r w:rsidRPr="0050664E">
              <w:rPr>
                <w:rFonts w:ascii="Times New Roman" w:eastAsia="Calibri" w:hAnsi="Times New Roman" w:cs="Times New Roman"/>
                <w:sz w:val="24"/>
                <w:szCs w:val="24"/>
              </w:rPr>
              <w:t>ry mia</w:t>
            </w:r>
            <w:r w:rsidRPr="0050664E">
              <w:rPr>
                <w:rFonts w:ascii="Times New Roman" w:eastAsia="Calibri" w:hAnsi="Times New Roman" w:cs="Times New Roman" w:hint="eastAsia"/>
                <w:sz w:val="24"/>
                <w:szCs w:val="24"/>
              </w:rPr>
              <w:t>ł</w:t>
            </w:r>
            <w:r w:rsidRPr="0050664E">
              <w:rPr>
                <w:rFonts w:ascii="Times New Roman" w:eastAsia="Calibri" w:hAnsi="Times New Roman" w:cs="Times New Roman"/>
                <w:sz w:val="24"/>
                <w:szCs w:val="24"/>
              </w:rPr>
              <w:t>by zast</w:t>
            </w:r>
            <w:r w:rsidRPr="0050664E">
              <w:rPr>
                <w:rFonts w:ascii="Times New Roman" w:eastAsia="Calibri" w:hAnsi="Times New Roman" w:cs="Times New Roman" w:hint="eastAsia"/>
                <w:sz w:val="24"/>
                <w:szCs w:val="24"/>
              </w:rPr>
              <w:t>ą</w:t>
            </w:r>
            <w:r w:rsidRPr="0050664E">
              <w:rPr>
                <w:rFonts w:ascii="Times New Roman" w:eastAsia="Calibri" w:hAnsi="Times New Roman" w:cs="Times New Roman"/>
                <w:sz w:val="24"/>
                <w:szCs w:val="24"/>
              </w:rPr>
              <w:t>pi</w:t>
            </w:r>
            <w:r w:rsidRPr="0050664E">
              <w:rPr>
                <w:rFonts w:ascii="Times New Roman" w:eastAsia="Calibri" w:hAnsi="Times New Roman" w:cs="Times New Roman" w:hint="eastAsia"/>
                <w:sz w:val="24"/>
                <w:szCs w:val="24"/>
              </w:rPr>
              <w:t>ć</w:t>
            </w:r>
            <w:r w:rsidRPr="0050664E">
              <w:rPr>
                <w:rFonts w:ascii="Times New Roman" w:eastAsia="Calibri" w:hAnsi="Times New Roman" w:cs="Times New Roman"/>
                <w:sz w:val="24"/>
                <w:szCs w:val="24"/>
              </w:rPr>
              <w:t xml:space="preserve"> wska</w:t>
            </w:r>
            <w:r w:rsidRPr="0050664E">
              <w:rPr>
                <w:rFonts w:ascii="Times New Roman" w:eastAsia="Calibri" w:hAnsi="Times New Roman" w:cs="Times New Roman" w:hint="eastAsia"/>
                <w:sz w:val="24"/>
                <w:szCs w:val="24"/>
              </w:rPr>
              <w:t>ź</w:t>
            </w:r>
            <w:r w:rsidRPr="0050664E">
              <w:rPr>
                <w:rFonts w:ascii="Times New Roman" w:eastAsia="Calibri" w:hAnsi="Times New Roman" w:cs="Times New Roman"/>
                <w:sz w:val="24"/>
                <w:szCs w:val="24"/>
              </w:rPr>
              <w:t xml:space="preserve">nik referencyjny WIBOR. Tym samym KS NGR zweryfikował i zmodyfikował swoją wcześniejszą decyzję o wyborze WIRON (pierwotnie WIRD). </w:t>
            </w:r>
            <w:r w:rsidRPr="00D342F7">
              <w:rPr>
                <w:rFonts w:ascii="Times New Roman" w:eastAsia="Calibri" w:hAnsi="Times New Roman" w:cs="Times New Roman"/>
                <w:sz w:val="24"/>
                <w:szCs w:val="24"/>
              </w:rPr>
              <w:t xml:space="preserve">Indeks WIRF- 24 stycznia 2025 r. zmienił nazwę na POLSTR i od 1 września 2025 r. zyskał status wskaźnika referencyjnego </w:t>
            </w:r>
            <w:r w:rsidRPr="00D342F7">
              <w:rPr>
                <w:rFonts w:ascii="Times New Roman" w:eastAsia="Calibri" w:hAnsi="Times New Roman" w:cs="Times New Roman"/>
                <w:sz w:val="24"/>
                <w:szCs w:val="24"/>
              </w:rPr>
              <w:lastRenderedPageBreak/>
              <w:t xml:space="preserve">zgodnie z wymogami Rozporządzenia BMR. Wskaźnik ten zgodnie z opublikowaną przez NGR zaktualizowaną Mapą Drogową ma docelowo zamienić wskaźnik WIBOR. </w:t>
            </w:r>
          </w:p>
          <w:p w14:paraId="1FFE3C11" w14:textId="77777777" w:rsidR="000701E4" w:rsidRPr="00956E42" w:rsidRDefault="000701E4" w:rsidP="006156BD">
            <w:pPr>
              <w:spacing w:after="120"/>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Zgodnie z komunikatem NGR z 25 października 2023 roku, jako finalny moment konwersji aktualnie stosowanych umów i odejścia od stosowania WIBOR wskazano koniec 2027 roku.</w:t>
            </w:r>
          </w:p>
          <w:p w14:paraId="775325F3" w14:textId="77777777" w:rsidR="000701E4" w:rsidRPr="0050664E" w:rsidRDefault="000701E4" w:rsidP="006156BD">
            <w:pPr>
              <w:jc w:val="both"/>
              <w:outlineLvl w:val="1"/>
              <w:rPr>
                <w:rFonts w:ascii="Times New Roman" w:eastAsia="Calibri" w:hAnsi="Times New Roman" w:cs="Times New Roman"/>
                <w:b/>
                <w:sz w:val="24"/>
                <w:szCs w:val="24"/>
              </w:rPr>
            </w:pPr>
            <w:r w:rsidRPr="0050664E">
              <w:rPr>
                <w:rFonts w:ascii="Times New Roman" w:eastAsia="Calibri" w:hAnsi="Times New Roman" w:cs="Times New Roman"/>
                <w:b/>
                <w:sz w:val="24"/>
                <w:szCs w:val="24"/>
              </w:rPr>
              <w:t>Likwidacja poszczeg</w:t>
            </w:r>
            <w:r w:rsidRPr="0050664E">
              <w:rPr>
                <w:rFonts w:ascii="Times New Roman" w:eastAsia="Calibri" w:hAnsi="Times New Roman" w:cs="Times New Roman" w:hint="eastAsia"/>
                <w:b/>
                <w:sz w:val="24"/>
                <w:szCs w:val="24"/>
              </w:rPr>
              <w:t>ó</w:t>
            </w:r>
            <w:r w:rsidRPr="0050664E">
              <w:rPr>
                <w:rFonts w:ascii="Times New Roman" w:eastAsia="Calibri" w:hAnsi="Times New Roman" w:cs="Times New Roman"/>
                <w:b/>
                <w:sz w:val="24"/>
                <w:szCs w:val="24"/>
              </w:rPr>
              <w:t>lnych tenor</w:t>
            </w:r>
            <w:r w:rsidRPr="0050664E">
              <w:rPr>
                <w:rFonts w:ascii="Times New Roman" w:eastAsia="Calibri" w:hAnsi="Times New Roman" w:cs="Times New Roman" w:hint="eastAsia"/>
                <w:b/>
                <w:sz w:val="24"/>
                <w:szCs w:val="24"/>
              </w:rPr>
              <w:t>ó</w:t>
            </w:r>
            <w:r w:rsidRPr="0050664E">
              <w:rPr>
                <w:rFonts w:ascii="Times New Roman" w:eastAsia="Calibri" w:hAnsi="Times New Roman" w:cs="Times New Roman"/>
                <w:b/>
                <w:sz w:val="24"/>
                <w:szCs w:val="24"/>
              </w:rPr>
              <w:t>w WIBID/WIBOR</w:t>
            </w:r>
          </w:p>
          <w:p w14:paraId="4BE3C9F2" w14:textId="77777777" w:rsidR="000701E4" w:rsidRPr="0050664E" w:rsidRDefault="000701E4" w:rsidP="006156BD">
            <w:pPr>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W dniu 30 września GPW Benchmark SA podjął decyzję o zaprzestanie opracowywania niektórych wskaźników WIBID i WIBOR:</w:t>
            </w:r>
          </w:p>
          <w:p w14:paraId="7CC72DB0" w14:textId="77777777" w:rsidR="000701E4" w:rsidRPr="0050664E" w:rsidRDefault="000701E4" w:rsidP="006156BD">
            <w:pPr>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 xml:space="preserve">WIBID i WIBOR ON </w:t>
            </w:r>
            <w:r w:rsidRPr="004B580F">
              <w:rPr>
                <w:rFonts w:ascii="Times New Roman" w:eastAsia="Calibri" w:hAnsi="Times New Roman" w:cs="Times New Roman"/>
                <w:sz w:val="24"/>
                <w:szCs w:val="24"/>
              </w:rPr>
              <w:t>–</w:t>
            </w:r>
            <w:r w:rsidRPr="0050664E">
              <w:rPr>
                <w:rFonts w:ascii="Times New Roman" w:eastAsia="Calibri" w:hAnsi="Times New Roman" w:cs="Times New Roman"/>
                <w:sz w:val="24"/>
                <w:szCs w:val="24"/>
              </w:rPr>
              <w:t xml:space="preserve"> od 1 pa</w:t>
            </w:r>
            <w:r w:rsidRPr="0050664E">
              <w:rPr>
                <w:rFonts w:ascii="Times New Roman" w:eastAsia="Calibri" w:hAnsi="Times New Roman" w:cs="Times New Roman" w:hint="eastAsia"/>
                <w:sz w:val="24"/>
                <w:szCs w:val="24"/>
              </w:rPr>
              <w:t>ź</w:t>
            </w:r>
            <w:r w:rsidRPr="0050664E">
              <w:rPr>
                <w:rFonts w:ascii="Times New Roman" w:eastAsia="Calibri" w:hAnsi="Times New Roman" w:cs="Times New Roman"/>
                <w:sz w:val="24"/>
                <w:szCs w:val="24"/>
              </w:rPr>
              <w:t>dziernika 2026 r.</w:t>
            </w:r>
          </w:p>
          <w:p w14:paraId="0030C4E8" w14:textId="77777777" w:rsidR="000701E4" w:rsidRPr="0050664E" w:rsidRDefault="000701E4" w:rsidP="006156BD">
            <w:pPr>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 xml:space="preserve">WIBID i WIBOR T/N </w:t>
            </w:r>
            <w:r w:rsidRPr="004B580F">
              <w:rPr>
                <w:rFonts w:ascii="Times New Roman" w:eastAsia="Calibri" w:hAnsi="Times New Roman" w:cs="Times New Roman"/>
                <w:sz w:val="24"/>
                <w:szCs w:val="24"/>
              </w:rPr>
              <w:t>–</w:t>
            </w:r>
            <w:r w:rsidRPr="0050664E">
              <w:rPr>
                <w:rFonts w:ascii="Times New Roman" w:eastAsia="Calibri" w:hAnsi="Times New Roman" w:cs="Times New Roman"/>
                <w:sz w:val="24"/>
                <w:szCs w:val="24"/>
              </w:rPr>
              <w:t xml:space="preserve"> od 22 grudnia 2025 r.</w:t>
            </w:r>
          </w:p>
          <w:p w14:paraId="69FEB772" w14:textId="77777777" w:rsidR="000701E4" w:rsidRPr="0050664E" w:rsidRDefault="000701E4" w:rsidP="006156BD">
            <w:pPr>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 xml:space="preserve">WIBID i WIBOR 2W </w:t>
            </w:r>
            <w:bookmarkStart w:id="1" w:name="_Hlk216269098"/>
            <w:r w:rsidRPr="0050664E">
              <w:rPr>
                <w:rFonts w:ascii="Times New Roman" w:eastAsia="Calibri" w:hAnsi="Times New Roman" w:cs="Times New Roman"/>
                <w:sz w:val="24"/>
                <w:szCs w:val="24"/>
              </w:rPr>
              <w:t>–</w:t>
            </w:r>
            <w:bookmarkEnd w:id="1"/>
            <w:r w:rsidRPr="0050664E">
              <w:rPr>
                <w:rFonts w:ascii="Times New Roman" w:eastAsia="Calibri" w:hAnsi="Times New Roman" w:cs="Times New Roman"/>
                <w:sz w:val="24"/>
                <w:szCs w:val="24"/>
              </w:rPr>
              <w:t xml:space="preserve"> od 22 grudnia 2025 r.</w:t>
            </w:r>
          </w:p>
          <w:p w14:paraId="6BD06EF9" w14:textId="77777777" w:rsidR="000701E4" w:rsidRPr="0050664E" w:rsidRDefault="000701E4" w:rsidP="006156BD">
            <w:pPr>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WIBID 1Y (inaczej 12M) – od 22 grudnia 2025 r.</w:t>
            </w:r>
          </w:p>
          <w:p w14:paraId="363E3786" w14:textId="77777777" w:rsidR="000701E4" w:rsidRPr="0050664E" w:rsidRDefault="000701E4" w:rsidP="006156BD">
            <w:pPr>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WIBOR 1Y (inaczej 12M) – od 22 grudnia 2026 r.</w:t>
            </w:r>
          </w:p>
          <w:p w14:paraId="0BE4ED45" w14:textId="77777777" w:rsidR="000701E4" w:rsidRPr="0050664E" w:rsidRDefault="000701E4" w:rsidP="006156BD">
            <w:pPr>
              <w:spacing w:after="120"/>
              <w:jc w:val="both"/>
              <w:outlineLvl w:val="1"/>
              <w:rPr>
                <w:rFonts w:ascii="Times New Roman" w:eastAsia="Calibri" w:hAnsi="Times New Roman" w:cs="Times New Roman"/>
                <w:sz w:val="24"/>
                <w:szCs w:val="24"/>
              </w:rPr>
            </w:pPr>
            <w:r w:rsidRPr="0050664E">
              <w:rPr>
                <w:rFonts w:ascii="Times New Roman" w:eastAsia="Calibri" w:hAnsi="Times New Roman" w:cs="Times New Roman"/>
                <w:sz w:val="24"/>
                <w:szCs w:val="24"/>
              </w:rPr>
              <w:t xml:space="preserve">Dodatkowo w okresie od 22 grudnia 2025 r. do 22 grudnia 2026 r. wskaźnik WIBOR 1Y będzie opracowywany na podstawie zmienionej metody algorytmicznej opracowanej przez administratora.  </w:t>
            </w:r>
          </w:p>
          <w:p w14:paraId="686F1E85" w14:textId="77777777" w:rsidR="000701E4" w:rsidRPr="00047D62" w:rsidRDefault="000701E4" w:rsidP="006156BD">
            <w:pPr>
              <w:tabs>
                <w:tab w:val="left" w:pos="964"/>
                <w:tab w:val="left" w:pos="1304"/>
                <w:tab w:val="left" w:pos="1644"/>
                <w:tab w:val="left" w:pos="1985"/>
                <w:tab w:val="left" w:pos="2325"/>
              </w:tabs>
              <w:jc w:val="both"/>
              <w:rPr>
                <w:rFonts w:cs="Calibri"/>
              </w:rPr>
            </w:pPr>
          </w:p>
        </w:tc>
      </w:tr>
      <w:tr w:rsidR="000701E4" w14:paraId="30572679" w14:textId="77777777" w:rsidTr="006156BD">
        <w:tc>
          <w:tcPr>
            <w:tcW w:w="9209" w:type="dxa"/>
          </w:tcPr>
          <w:p w14:paraId="419C5D56" w14:textId="77777777" w:rsidR="000701E4" w:rsidRPr="0050664E" w:rsidRDefault="000701E4" w:rsidP="006156BD">
            <w:pPr>
              <w:tabs>
                <w:tab w:val="left" w:pos="964"/>
                <w:tab w:val="left" w:pos="1304"/>
                <w:tab w:val="left" w:pos="1644"/>
                <w:tab w:val="left" w:pos="1985"/>
                <w:tab w:val="left" w:pos="2325"/>
              </w:tabs>
              <w:jc w:val="both"/>
              <w:rPr>
                <w:rFonts w:ascii="Times New Roman" w:eastAsia="Calibri" w:hAnsi="Times New Roman" w:cs="Times New Roman"/>
                <w:b/>
                <w:bCs/>
                <w:sz w:val="24"/>
                <w:szCs w:val="24"/>
              </w:rPr>
            </w:pPr>
            <w:r w:rsidRPr="0050664E">
              <w:rPr>
                <w:rFonts w:ascii="Times New Roman" w:eastAsia="Calibri" w:hAnsi="Times New Roman" w:cs="Times New Roman"/>
                <w:b/>
                <w:bCs/>
                <w:sz w:val="24"/>
                <w:szCs w:val="24"/>
              </w:rPr>
              <w:lastRenderedPageBreak/>
              <w:t>Specyficzne ryzyka dot. tego wska</w:t>
            </w:r>
            <w:r w:rsidRPr="0050664E">
              <w:rPr>
                <w:rFonts w:ascii="Times New Roman" w:eastAsia="Calibri" w:hAnsi="Times New Roman" w:cs="Times New Roman" w:hint="eastAsia"/>
                <w:b/>
                <w:bCs/>
                <w:sz w:val="24"/>
                <w:szCs w:val="24"/>
              </w:rPr>
              <w:t>ź</w:t>
            </w:r>
            <w:r w:rsidRPr="0050664E">
              <w:rPr>
                <w:rFonts w:ascii="Times New Roman" w:eastAsia="Calibri" w:hAnsi="Times New Roman" w:cs="Times New Roman"/>
                <w:b/>
                <w:bCs/>
                <w:sz w:val="24"/>
                <w:szCs w:val="24"/>
              </w:rPr>
              <w:t>nika obejmuj</w:t>
            </w:r>
            <w:r w:rsidRPr="0050664E">
              <w:rPr>
                <w:rFonts w:ascii="Times New Roman" w:eastAsia="Calibri" w:hAnsi="Times New Roman" w:cs="Times New Roman" w:hint="eastAsia"/>
                <w:b/>
                <w:bCs/>
                <w:sz w:val="24"/>
                <w:szCs w:val="24"/>
              </w:rPr>
              <w:t>ą</w:t>
            </w:r>
            <w:r w:rsidRPr="0050664E">
              <w:rPr>
                <w:rFonts w:ascii="Times New Roman" w:eastAsia="Calibri" w:hAnsi="Times New Roman" w:cs="Times New Roman"/>
                <w:b/>
                <w:bCs/>
                <w:sz w:val="24"/>
                <w:szCs w:val="24"/>
              </w:rPr>
              <w:t xml:space="preserve"> w szczeg</w:t>
            </w:r>
            <w:r w:rsidRPr="0050664E">
              <w:rPr>
                <w:rFonts w:ascii="Times New Roman" w:eastAsia="Calibri" w:hAnsi="Times New Roman" w:cs="Times New Roman" w:hint="eastAsia"/>
                <w:b/>
                <w:bCs/>
                <w:sz w:val="24"/>
                <w:szCs w:val="24"/>
              </w:rPr>
              <w:t>ó</w:t>
            </w:r>
            <w:r w:rsidRPr="0050664E">
              <w:rPr>
                <w:rFonts w:ascii="Times New Roman" w:eastAsia="Calibri" w:hAnsi="Times New Roman" w:cs="Times New Roman"/>
                <w:b/>
                <w:bCs/>
                <w:sz w:val="24"/>
                <w:szCs w:val="24"/>
              </w:rPr>
              <w:t>lno</w:t>
            </w:r>
            <w:r w:rsidRPr="0050664E">
              <w:rPr>
                <w:rFonts w:ascii="Times New Roman" w:eastAsia="Calibri" w:hAnsi="Times New Roman" w:cs="Times New Roman" w:hint="eastAsia"/>
                <w:b/>
                <w:bCs/>
                <w:sz w:val="24"/>
                <w:szCs w:val="24"/>
              </w:rPr>
              <w:t>ś</w:t>
            </w:r>
            <w:r w:rsidRPr="0050664E">
              <w:rPr>
                <w:rFonts w:ascii="Times New Roman" w:eastAsia="Calibri" w:hAnsi="Times New Roman" w:cs="Times New Roman"/>
                <w:b/>
                <w:bCs/>
                <w:sz w:val="24"/>
                <w:szCs w:val="24"/>
              </w:rPr>
              <w:t xml:space="preserve">ci: </w:t>
            </w:r>
          </w:p>
          <w:p w14:paraId="26B587BB" w14:textId="77777777" w:rsidR="000701E4" w:rsidRPr="003D4E7A" w:rsidRDefault="000701E4" w:rsidP="000701E4">
            <w:pPr>
              <w:numPr>
                <w:ilvl w:val="0"/>
                <w:numId w:val="1"/>
              </w:numPr>
              <w:ind w:left="312" w:hanging="284"/>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ryzyko rezygnacji z dwustronno</w:t>
            </w:r>
            <w:r w:rsidRPr="003D4E7A">
              <w:rPr>
                <w:rFonts w:ascii="Times New Roman" w:eastAsia="Calibri" w:hAnsi="Times New Roman" w:cs="Times New Roman" w:hint="eastAsia"/>
                <w:sz w:val="24"/>
                <w:szCs w:val="24"/>
              </w:rPr>
              <w:t>ś</w:t>
            </w:r>
            <w:r w:rsidRPr="003D4E7A">
              <w:rPr>
                <w:rFonts w:ascii="Times New Roman" w:eastAsia="Calibri" w:hAnsi="Times New Roman" w:cs="Times New Roman"/>
                <w:sz w:val="24"/>
                <w:szCs w:val="24"/>
              </w:rPr>
              <w:t>ci stawek, tj. zawieszenie publikowania WIBID,</w:t>
            </w:r>
          </w:p>
          <w:p w14:paraId="1D24E275" w14:textId="77777777" w:rsidR="000701E4" w:rsidRPr="003D4E7A" w:rsidRDefault="000701E4" w:rsidP="000701E4">
            <w:pPr>
              <w:numPr>
                <w:ilvl w:val="0"/>
                <w:numId w:val="1"/>
              </w:numPr>
              <w:ind w:left="312" w:hanging="284"/>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ryzyko istotnej zmiany metody opracowywania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nika referencyjnego,</w:t>
            </w:r>
          </w:p>
          <w:p w14:paraId="2B106DF5" w14:textId="77777777" w:rsidR="000701E4" w:rsidRPr="003D4E7A" w:rsidRDefault="000701E4" w:rsidP="000701E4">
            <w:pPr>
              <w:pStyle w:val="Akapitzlist"/>
              <w:numPr>
                <w:ilvl w:val="0"/>
                <w:numId w:val="1"/>
              </w:numPr>
              <w:tabs>
                <w:tab w:val="left" w:pos="964"/>
                <w:tab w:val="left" w:pos="1304"/>
                <w:tab w:val="left" w:pos="1644"/>
                <w:tab w:val="left" w:pos="1985"/>
                <w:tab w:val="left" w:pos="2325"/>
              </w:tabs>
              <w:ind w:left="357" w:hanging="357"/>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ryzyko zaprzestania opracowywania wska</w:t>
            </w:r>
            <w:r w:rsidRPr="003D4E7A">
              <w:rPr>
                <w:rFonts w:ascii="Times New Roman" w:eastAsia="Calibri" w:hAnsi="Times New Roman" w:cs="Times New Roman" w:hint="eastAsia"/>
                <w:sz w:val="24"/>
                <w:szCs w:val="24"/>
              </w:rPr>
              <w:t>ź</w:t>
            </w:r>
            <w:r w:rsidRPr="003D4E7A">
              <w:rPr>
                <w:rFonts w:ascii="Times New Roman" w:eastAsia="Calibri" w:hAnsi="Times New Roman" w:cs="Times New Roman"/>
                <w:sz w:val="24"/>
                <w:szCs w:val="24"/>
              </w:rPr>
              <w:t>nika WIBOR/WIBID.</w:t>
            </w:r>
          </w:p>
        </w:tc>
      </w:tr>
      <w:tr w:rsidR="000701E4" w14:paraId="51767226" w14:textId="77777777" w:rsidTr="006156BD">
        <w:tc>
          <w:tcPr>
            <w:tcW w:w="9209" w:type="dxa"/>
          </w:tcPr>
          <w:tbl>
            <w:tblPr>
              <w:tblStyle w:val="Tabela-Siatka"/>
              <w:tblW w:w="9063" w:type="dxa"/>
              <w:tblLook w:val="04A0" w:firstRow="1" w:lastRow="0" w:firstColumn="1" w:lastColumn="0" w:noHBand="0" w:noVBand="1"/>
            </w:tblPr>
            <w:tblGrid>
              <w:gridCol w:w="4701"/>
              <w:gridCol w:w="4362"/>
            </w:tblGrid>
            <w:tr w:rsidR="000701E4" w:rsidRPr="00C06A84" w14:paraId="31F04264" w14:textId="77777777" w:rsidTr="006156BD">
              <w:tc>
                <w:tcPr>
                  <w:tcW w:w="9063" w:type="dxa"/>
                  <w:gridSpan w:val="2"/>
                </w:tcPr>
                <w:p w14:paraId="1A6BBAF6" w14:textId="77777777" w:rsidR="000701E4" w:rsidRPr="001B61EB" w:rsidRDefault="000701E4" w:rsidP="006156BD">
                  <w:pPr>
                    <w:tabs>
                      <w:tab w:val="left" w:pos="964"/>
                      <w:tab w:val="left" w:pos="1304"/>
                      <w:tab w:val="left" w:pos="1644"/>
                      <w:tab w:val="left" w:pos="1985"/>
                      <w:tab w:val="left" w:pos="2325"/>
                    </w:tabs>
                    <w:jc w:val="both"/>
                    <w:rPr>
                      <w:rFonts w:cs="Calibri"/>
                      <w:b/>
                    </w:rPr>
                  </w:pPr>
                  <w:r w:rsidRPr="003D4E7A">
                    <w:rPr>
                      <w:rFonts w:ascii="Times New Roman" w:eastAsia="Calibri" w:hAnsi="Times New Roman" w:cs="Times New Roman"/>
                      <w:b/>
                      <w:sz w:val="24"/>
                      <w:szCs w:val="24"/>
                    </w:rPr>
                    <w:t>Kody ISIN WIBOR</w:t>
                  </w:r>
                </w:p>
              </w:tc>
            </w:tr>
            <w:tr w:rsidR="000701E4" w:rsidRPr="00C06A84" w14:paraId="2F9E8F2F" w14:textId="77777777" w:rsidTr="006156BD">
              <w:tc>
                <w:tcPr>
                  <w:tcW w:w="4701" w:type="dxa"/>
                </w:tcPr>
                <w:p w14:paraId="692FB3B1"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WIBOR 1M</w:t>
                  </w:r>
                </w:p>
              </w:tc>
              <w:tc>
                <w:tcPr>
                  <w:tcW w:w="4362" w:type="dxa"/>
                </w:tcPr>
                <w:p w14:paraId="660D846F"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PL9999999557</w:t>
                  </w:r>
                </w:p>
              </w:tc>
            </w:tr>
            <w:tr w:rsidR="000701E4" w:rsidRPr="00C06A84" w14:paraId="4BEDF071" w14:textId="77777777" w:rsidTr="006156BD">
              <w:tc>
                <w:tcPr>
                  <w:tcW w:w="4701" w:type="dxa"/>
                </w:tcPr>
                <w:p w14:paraId="70E7D763"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WIBOR 1Y</w:t>
                  </w:r>
                </w:p>
              </w:tc>
              <w:tc>
                <w:tcPr>
                  <w:tcW w:w="4362" w:type="dxa"/>
                </w:tcPr>
                <w:p w14:paraId="093EDE97"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PL9999999177</w:t>
                  </w:r>
                </w:p>
              </w:tc>
            </w:tr>
            <w:tr w:rsidR="000701E4" w:rsidRPr="00C06A84" w14:paraId="5A1B2C7F" w14:textId="77777777" w:rsidTr="006156BD">
              <w:tc>
                <w:tcPr>
                  <w:tcW w:w="4701" w:type="dxa"/>
                </w:tcPr>
                <w:p w14:paraId="022DF1A0"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WIBOR 1W</w:t>
                  </w:r>
                </w:p>
              </w:tc>
              <w:tc>
                <w:tcPr>
                  <w:tcW w:w="4362" w:type="dxa"/>
                </w:tcPr>
                <w:p w14:paraId="379B410C"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PL9999999201</w:t>
                  </w:r>
                </w:p>
              </w:tc>
            </w:tr>
            <w:tr w:rsidR="000701E4" w:rsidRPr="00C06A84" w14:paraId="035C7298" w14:textId="77777777" w:rsidTr="006156BD">
              <w:tc>
                <w:tcPr>
                  <w:tcW w:w="4701" w:type="dxa"/>
                </w:tcPr>
                <w:p w14:paraId="5F86EB63"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WIBOR 3M</w:t>
                  </w:r>
                </w:p>
              </w:tc>
              <w:tc>
                <w:tcPr>
                  <w:tcW w:w="4362" w:type="dxa"/>
                </w:tcPr>
                <w:p w14:paraId="56011A58"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PL9999999748</w:t>
                  </w:r>
                </w:p>
              </w:tc>
            </w:tr>
            <w:tr w:rsidR="000701E4" w:rsidRPr="00C06A84" w14:paraId="51A7D5B4" w14:textId="77777777" w:rsidTr="006156BD">
              <w:tc>
                <w:tcPr>
                  <w:tcW w:w="4701" w:type="dxa"/>
                </w:tcPr>
                <w:p w14:paraId="0CA4F5C8"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WIBOR 6M</w:t>
                  </w:r>
                </w:p>
              </w:tc>
              <w:tc>
                <w:tcPr>
                  <w:tcW w:w="4362" w:type="dxa"/>
                </w:tcPr>
                <w:p w14:paraId="2F75B4DA" w14:textId="77777777" w:rsidR="000701E4" w:rsidRPr="003D4E7A" w:rsidRDefault="000701E4" w:rsidP="006156BD">
                  <w:pPr>
                    <w:tabs>
                      <w:tab w:val="left" w:pos="964"/>
                      <w:tab w:val="left" w:pos="1304"/>
                      <w:tab w:val="left" w:pos="1644"/>
                      <w:tab w:val="left" w:pos="1985"/>
                      <w:tab w:val="left" w:pos="2325"/>
                    </w:tabs>
                    <w:jc w:val="both"/>
                    <w:rPr>
                      <w:rFonts w:ascii="Times New Roman" w:eastAsia="Calibri" w:hAnsi="Times New Roman" w:cs="Times New Roman"/>
                      <w:sz w:val="24"/>
                      <w:szCs w:val="24"/>
                    </w:rPr>
                  </w:pPr>
                  <w:r w:rsidRPr="003D4E7A">
                    <w:rPr>
                      <w:rFonts w:ascii="Times New Roman" w:eastAsia="Calibri" w:hAnsi="Times New Roman" w:cs="Times New Roman"/>
                      <w:sz w:val="24"/>
                      <w:szCs w:val="24"/>
                    </w:rPr>
                    <w:t>PL9999999615</w:t>
                  </w:r>
                </w:p>
              </w:tc>
            </w:tr>
          </w:tbl>
          <w:p w14:paraId="2EBE314F" w14:textId="77777777" w:rsidR="000701E4" w:rsidRDefault="000701E4" w:rsidP="006156BD">
            <w:pPr>
              <w:tabs>
                <w:tab w:val="left" w:pos="964"/>
                <w:tab w:val="left" w:pos="1304"/>
                <w:tab w:val="left" w:pos="1644"/>
                <w:tab w:val="left" w:pos="1985"/>
                <w:tab w:val="left" w:pos="2325"/>
              </w:tabs>
              <w:jc w:val="both"/>
              <w:rPr>
                <w:rFonts w:cs="Calibri"/>
                <w:lang w:val="en-US"/>
              </w:rPr>
            </w:pPr>
          </w:p>
        </w:tc>
      </w:tr>
      <w:tr w:rsidR="000701E4" w:rsidRPr="006A165F" w14:paraId="2D53CC0F" w14:textId="77777777" w:rsidTr="006156BD">
        <w:tc>
          <w:tcPr>
            <w:tcW w:w="9209" w:type="dxa"/>
          </w:tcPr>
          <w:p w14:paraId="4805FC76" w14:textId="77777777" w:rsidR="000701E4" w:rsidRPr="00C06A84" w:rsidRDefault="000701E4" w:rsidP="006156BD">
            <w:pPr>
              <w:tabs>
                <w:tab w:val="left" w:pos="964"/>
                <w:tab w:val="left" w:pos="1304"/>
                <w:tab w:val="left" w:pos="1644"/>
                <w:tab w:val="left" w:pos="1985"/>
                <w:tab w:val="left" w:pos="2325"/>
              </w:tabs>
              <w:spacing w:line="360" w:lineRule="auto"/>
              <w:jc w:val="both"/>
              <w:rPr>
                <w:rFonts w:eastAsia="Calibri" w:cs="Calibri"/>
                <w:b/>
              </w:rPr>
            </w:pPr>
            <w:r w:rsidRPr="00C06A84">
              <w:rPr>
                <w:rFonts w:cs="Calibri"/>
                <w:b/>
              </w:rPr>
              <w:t>Nazwa oraz dane adresowe administratora WIBOR</w:t>
            </w:r>
          </w:p>
          <w:p w14:paraId="28B320D9"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Administratorem WIBOR jest GPW Benchmark S.A.</w:t>
            </w:r>
          </w:p>
          <w:p w14:paraId="7AFFE079"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ul. Książęca 4, 00-498 Warszawa</w:t>
            </w:r>
          </w:p>
          <w:p w14:paraId="45537246" w14:textId="77777777" w:rsidR="000701E4" w:rsidRDefault="000701E4" w:rsidP="006156BD">
            <w:pPr>
              <w:tabs>
                <w:tab w:val="left" w:pos="964"/>
                <w:tab w:val="left" w:pos="1304"/>
                <w:tab w:val="left" w:pos="1644"/>
                <w:tab w:val="left" w:pos="1985"/>
                <w:tab w:val="left" w:pos="2325"/>
              </w:tabs>
              <w:jc w:val="both"/>
              <w:rPr>
                <w:rFonts w:cs="Calibri"/>
                <w:lang w:val="en-US"/>
              </w:rPr>
            </w:pPr>
            <w:r w:rsidRPr="00047D62">
              <w:rPr>
                <w:rFonts w:ascii="Times New Roman" w:hAnsi="Times New Roman" w:cs="Times New Roman"/>
                <w:sz w:val="24"/>
                <w:szCs w:val="24"/>
                <w:lang w:val="en-US" w:eastAsia="pl-PL"/>
              </w:rPr>
              <w:t>Tel. 22 628 32 32, Email</w:t>
            </w:r>
            <w:r w:rsidRPr="00C06A84">
              <w:rPr>
                <w:rFonts w:cs="Calibri"/>
                <w:lang w:val="en-US"/>
              </w:rPr>
              <w:t xml:space="preserve">: </w:t>
            </w:r>
            <w:hyperlink r:id="rId8" w:history="1">
              <w:r w:rsidRPr="00C06A84">
                <w:rPr>
                  <w:rStyle w:val="Hipercze"/>
                  <w:rFonts w:cs="Calibri"/>
                  <w:lang w:val="en-US"/>
                </w:rPr>
                <w:t>kontakt@gpwbenchmark.pl</w:t>
              </w:r>
            </w:hyperlink>
          </w:p>
        </w:tc>
      </w:tr>
    </w:tbl>
    <w:p w14:paraId="02C8331F" w14:textId="77777777" w:rsidR="000701E4" w:rsidRDefault="000701E4" w:rsidP="000701E4">
      <w:pPr>
        <w:tabs>
          <w:tab w:val="left" w:pos="964"/>
          <w:tab w:val="left" w:pos="1304"/>
          <w:tab w:val="left" w:pos="1644"/>
          <w:tab w:val="left" w:pos="1985"/>
          <w:tab w:val="left" w:pos="2325"/>
        </w:tabs>
        <w:spacing w:after="0" w:line="240" w:lineRule="auto"/>
        <w:jc w:val="both"/>
        <w:rPr>
          <w:rFonts w:cs="Calibri"/>
          <w:lang w:val="en-US"/>
        </w:rPr>
      </w:pPr>
    </w:p>
    <w:tbl>
      <w:tblPr>
        <w:tblStyle w:val="Tabela-Siatka"/>
        <w:tblW w:w="9239" w:type="dxa"/>
        <w:tblInd w:w="-176" w:type="dxa"/>
        <w:tblLook w:val="04A0" w:firstRow="1" w:lastRow="0" w:firstColumn="1" w:lastColumn="0" w:noHBand="0" w:noVBand="1"/>
      </w:tblPr>
      <w:tblGrid>
        <w:gridCol w:w="9239"/>
      </w:tblGrid>
      <w:tr w:rsidR="000701E4" w:rsidRPr="00C06A84" w14:paraId="0A9A0727" w14:textId="77777777" w:rsidTr="006156BD">
        <w:tc>
          <w:tcPr>
            <w:tcW w:w="9239" w:type="dxa"/>
            <w:shd w:val="clear" w:color="auto" w:fill="E7E6E6" w:themeFill="background2"/>
          </w:tcPr>
          <w:p w14:paraId="555DCD4E" w14:textId="77777777" w:rsidR="000701E4" w:rsidRPr="00B013A5" w:rsidRDefault="000701E4" w:rsidP="006156BD">
            <w:pPr>
              <w:spacing w:line="360" w:lineRule="auto"/>
              <w:jc w:val="center"/>
              <w:rPr>
                <w:rFonts w:ascii="Times New Roman" w:hAnsi="Times New Roman" w:cs="Times New Roman"/>
                <w:lang w:eastAsia="pl-PL"/>
              </w:rPr>
            </w:pPr>
            <w:r w:rsidRPr="00B013A5">
              <w:rPr>
                <w:rFonts w:ascii="Times New Roman" w:hAnsi="Times New Roman" w:cs="Times New Roman"/>
                <w:b/>
              </w:rPr>
              <w:t>Informacje o wskaźniku POLSTR oraz innych wskaźnikach z rodziny POLSTR</w:t>
            </w:r>
          </w:p>
        </w:tc>
      </w:tr>
      <w:tr w:rsidR="000701E4" w:rsidRPr="00C06A84" w14:paraId="4DEA11FD" w14:textId="77777777" w:rsidTr="006156BD">
        <w:trPr>
          <w:trHeight w:val="5226"/>
        </w:trPr>
        <w:tc>
          <w:tcPr>
            <w:tcW w:w="9239" w:type="dxa"/>
          </w:tcPr>
          <w:p w14:paraId="5211172B" w14:textId="77777777" w:rsidR="000701E4" w:rsidRPr="0050664E" w:rsidRDefault="000701E4" w:rsidP="006156BD">
            <w:pPr>
              <w:spacing w:line="360" w:lineRule="auto"/>
              <w:jc w:val="both"/>
              <w:rPr>
                <w:rFonts w:ascii="Times New Roman" w:hAnsi="Times New Roman" w:cs="Times New Roman"/>
                <w:b/>
                <w:sz w:val="24"/>
                <w:szCs w:val="24"/>
                <w:lang w:eastAsia="pl-PL"/>
              </w:rPr>
            </w:pPr>
            <w:r w:rsidRPr="0050664E">
              <w:rPr>
                <w:rFonts w:ascii="Times New Roman" w:hAnsi="Times New Roman" w:cs="Times New Roman"/>
                <w:b/>
                <w:sz w:val="24"/>
                <w:szCs w:val="24"/>
                <w:lang w:eastAsia="pl-PL"/>
              </w:rPr>
              <w:lastRenderedPageBreak/>
              <w:t>Regulaminy i metody POLSTR</w:t>
            </w:r>
          </w:p>
          <w:p w14:paraId="74B2A8B4" w14:textId="77777777" w:rsidR="000701E4" w:rsidRPr="0050664E" w:rsidRDefault="000701E4" w:rsidP="006156BD">
            <w:pPr>
              <w:spacing w:after="120"/>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 xml:space="preserve">POLSTR opracowywany jest według metod samodzielnie określonych przez GPW Benchmark S.A. pod nadzorem Komisji Nadzoru Finansowego, na podstawie Regulaminu Indeksu Stopy Procentowej POLSTR, przyjętego Uchwałą Zarządu GPW Benchmark S.A. nr 61/2025 z dnia 23.05.2025 r.. Podstawowe informacje na temat POLSTR zostały określone przez Administratora w dokumencie: „Oświadczenie Administratora Indeksu Stopy Procentowej POLSTR (benchmark </w:t>
            </w:r>
            <w:proofErr w:type="spellStart"/>
            <w:r w:rsidRPr="0050664E">
              <w:rPr>
                <w:rFonts w:ascii="Times New Roman" w:hAnsi="Times New Roman" w:cs="Times New Roman"/>
                <w:sz w:val="24"/>
                <w:szCs w:val="24"/>
                <w:lang w:eastAsia="pl-PL"/>
              </w:rPr>
              <w:t>statement</w:t>
            </w:r>
            <w:proofErr w:type="spellEnd"/>
            <w:r w:rsidRPr="0050664E">
              <w:rPr>
                <w:rFonts w:ascii="Times New Roman" w:hAnsi="Times New Roman" w:cs="Times New Roman"/>
                <w:sz w:val="24"/>
                <w:szCs w:val="24"/>
                <w:lang w:eastAsia="pl-PL"/>
              </w:rPr>
              <w:t>)”.</w:t>
            </w:r>
          </w:p>
          <w:p w14:paraId="04FF0AAA" w14:textId="77777777" w:rsidR="000701E4" w:rsidRPr="0050664E" w:rsidRDefault="000701E4" w:rsidP="006156BD">
            <w:pPr>
              <w:spacing w:after="120"/>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 xml:space="preserve">POLSTR Stopa Składana opracowywany jest według metod samodzielnie określonych przez GPW Benchmark S.A. pod nadzorem Komisji Nadzoru Finansowego, na podstawie Rodziny Indeksów Składanych POLSTR, przyjętego Uchwałą Zarządu GPW Benchmark S.A. nr 62/2025 z dnia 23 maja 2025). Podstawowe informacje na temat POLSTR Stopa Składana zostały określone przez Administratora w dokumencie: „Oświadczenie Administratora Rodziny Indeksów Składanych POLSTR (benchmark </w:t>
            </w:r>
            <w:proofErr w:type="spellStart"/>
            <w:r w:rsidRPr="0050664E">
              <w:rPr>
                <w:rFonts w:ascii="Times New Roman" w:hAnsi="Times New Roman" w:cs="Times New Roman"/>
                <w:sz w:val="24"/>
                <w:szCs w:val="24"/>
                <w:lang w:eastAsia="pl-PL"/>
              </w:rPr>
              <w:t>statement</w:t>
            </w:r>
            <w:proofErr w:type="spellEnd"/>
            <w:r w:rsidRPr="0050664E">
              <w:rPr>
                <w:rFonts w:ascii="Times New Roman" w:hAnsi="Times New Roman" w:cs="Times New Roman"/>
                <w:sz w:val="24"/>
                <w:szCs w:val="24"/>
                <w:lang w:eastAsia="pl-PL"/>
              </w:rPr>
              <w:t xml:space="preserve">)”. </w:t>
            </w:r>
          </w:p>
          <w:p w14:paraId="4748C63E" w14:textId="77777777" w:rsidR="000701E4" w:rsidRPr="0050664E" w:rsidRDefault="000701E4" w:rsidP="006156BD">
            <w:pPr>
              <w:pStyle w:val="Nagwek2"/>
              <w:rPr>
                <w:rFonts w:ascii="Times New Roman" w:hAnsi="Times New Roman" w:cs="Times New Roman"/>
                <w:szCs w:val="20"/>
                <w:lang w:eastAsia="pl-PL"/>
              </w:rPr>
            </w:pPr>
            <w:r w:rsidRPr="0050664E">
              <w:rPr>
                <w:rFonts w:ascii="Times New Roman" w:hAnsi="Times New Roman" w:cs="Times New Roman"/>
                <w:sz w:val="24"/>
                <w:szCs w:val="24"/>
                <w:lang w:eastAsia="pl-PL"/>
              </w:rPr>
              <w:t xml:space="preserve">POLSTR Indeks Jednopodstawowy opracowywany jest według metod samodzielnie określonych przez GPW Benchmark S.A. pod nadzorem Komisji Nadzoru Finansowego, na podstawie Regulaminu Rodziny Indeksów Składanych POLSTR, przyjętego Uchwałą Zarządu GPW Benchmark S.A. nr 62/2025 z dnia 23 maja 2025. Podstawowe informacje na temat POLSTR Indeks Jednopodstawowy zostały określone przez Administratora w dokumencie: „Oświadczenie Administratora Rodziny Indeksów Składanych POLSTR (benchmark </w:t>
            </w:r>
            <w:proofErr w:type="spellStart"/>
            <w:r w:rsidRPr="0050664E">
              <w:rPr>
                <w:rFonts w:ascii="Times New Roman" w:hAnsi="Times New Roman" w:cs="Times New Roman"/>
                <w:sz w:val="24"/>
                <w:szCs w:val="24"/>
                <w:lang w:eastAsia="pl-PL"/>
              </w:rPr>
              <w:t>statement</w:t>
            </w:r>
            <w:proofErr w:type="spellEnd"/>
            <w:r w:rsidRPr="0050664E">
              <w:rPr>
                <w:rFonts w:ascii="Times New Roman" w:hAnsi="Times New Roman" w:cs="Times New Roman"/>
                <w:sz w:val="24"/>
                <w:szCs w:val="24"/>
                <w:lang w:eastAsia="pl-PL"/>
              </w:rPr>
              <w:t>)”.</w:t>
            </w:r>
            <w:r w:rsidRPr="0050664E">
              <w:rPr>
                <w:rFonts w:ascii="Times New Roman" w:hAnsi="Times New Roman" w:cs="Times New Roman"/>
                <w:szCs w:val="20"/>
                <w:lang w:eastAsia="pl-PL"/>
              </w:rPr>
              <w:t xml:space="preserve"> </w:t>
            </w:r>
          </w:p>
        </w:tc>
      </w:tr>
      <w:tr w:rsidR="000701E4" w:rsidRPr="00C06A84" w14:paraId="12C1F293" w14:textId="77777777" w:rsidTr="006156BD">
        <w:tc>
          <w:tcPr>
            <w:tcW w:w="9239" w:type="dxa"/>
          </w:tcPr>
          <w:p w14:paraId="27C0EC1B" w14:textId="77777777" w:rsidR="000701E4" w:rsidRPr="0050664E" w:rsidRDefault="000701E4" w:rsidP="006156BD">
            <w:pPr>
              <w:spacing w:line="360" w:lineRule="auto"/>
              <w:jc w:val="both"/>
              <w:rPr>
                <w:rFonts w:ascii="Times New Roman" w:hAnsi="Times New Roman" w:cs="Times New Roman"/>
                <w:b/>
                <w:bCs/>
                <w:sz w:val="24"/>
                <w:szCs w:val="24"/>
                <w:lang w:eastAsia="pl-PL"/>
              </w:rPr>
            </w:pPr>
            <w:r w:rsidRPr="0050664E">
              <w:rPr>
                <w:rFonts w:ascii="Times New Roman" w:hAnsi="Times New Roman" w:cs="Times New Roman"/>
                <w:b/>
                <w:bCs/>
                <w:sz w:val="24"/>
                <w:szCs w:val="24"/>
                <w:lang w:eastAsia="pl-PL"/>
              </w:rPr>
              <w:t>Definicje POLSTR, zgodnie z regulaminami administratora:</w:t>
            </w:r>
          </w:p>
          <w:p w14:paraId="2F2E8F71" w14:textId="77777777" w:rsidR="000701E4" w:rsidRPr="0050664E" w:rsidRDefault="000701E4" w:rsidP="006156BD">
            <w:pPr>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 xml:space="preserve">POLSTR przedstawia średni poziom stopy procentowej ważonej wolumenem, rozumianym jako kwota nominalna, Transakcji Depozytowych w złotych zawartych na termin zapadalności O/N na hurtowym rynku pieniężnym. </w:t>
            </w:r>
          </w:p>
          <w:p w14:paraId="2841AE68" w14:textId="77777777" w:rsidR="000701E4" w:rsidRPr="0050664E" w:rsidRDefault="000701E4" w:rsidP="006156BD">
            <w:pPr>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POLSTR Stopa Składana jest wskaźnikiem referencyjnym powstającym na podstawie zbioru wartości POLSTR poprzez złożenie oprocentowania (jako procent składany) wynikającego z szeregu tych wartości z poszczególnych dni roboczych dla określonego, zgodnie z ustaloną metodą, predefiniowanego wstecz terminu zapadalności (np. 1M, 3M lub 6M).POLSTR Stopa Składana jest obliczany oraz publikowany przez GPW Benchmark S.A. Przykładem jest np. POLSTR 1M Stopa Składana.</w:t>
            </w:r>
          </w:p>
          <w:p w14:paraId="7ACC82C6" w14:textId="77777777" w:rsidR="000701E4" w:rsidRPr="0050664E" w:rsidRDefault="000701E4" w:rsidP="006156BD">
            <w:pPr>
              <w:spacing w:after="120"/>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POLSTR Indeks Jednopodstawowy jest wskaźnikiem wyrażającym w punktach indeksowych skumulowana wartość inwestycji o określonej wartości startowej w dacie startowej określonej na 4 stycznia 2021 r., która odnawia się, z uwzględnieniem kapitalizacji odsetek, w każdej kolejnej dacie wskaźnika POLSTR począwszy od daty startowej, zgodnie z oprocentowaniem równym wartości POLSTR na tę datę wskaźnika.</w:t>
            </w:r>
          </w:p>
        </w:tc>
      </w:tr>
      <w:tr w:rsidR="000701E4" w:rsidRPr="00C06A84" w14:paraId="1602E14B" w14:textId="77777777" w:rsidTr="006156BD">
        <w:trPr>
          <w:trHeight w:val="1877"/>
        </w:trPr>
        <w:tc>
          <w:tcPr>
            <w:tcW w:w="9239" w:type="dxa"/>
          </w:tcPr>
          <w:p w14:paraId="3583A2A2" w14:textId="77777777" w:rsidR="000701E4" w:rsidRPr="0050664E" w:rsidRDefault="000701E4" w:rsidP="006156BD">
            <w:pPr>
              <w:spacing w:after="120"/>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 xml:space="preserve">Szczegóły, w tym opis metody opracowywania POLSTR, POLSTR Stopa Składana i POLSTR Indeks Jednopodstawowy, zasady dotyczące wprowadzania przez administratora istotnej zmiany metody, kluczowe informacje na temat tych wskaźników, w tym godziny ich publikacji, informacje o ich wartości oraz procedury dotyczące przyjmowania i rozpatrywania skarg dotyczących procesu jego wyznaczania GPW Benchmark S.A. opublikował na stronie internetowej pod adresem: </w:t>
            </w:r>
            <w:hyperlink r:id="rId9" w:history="1">
              <w:r w:rsidRPr="0050664E">
                <w:rPr>
                  <w:rStyle w:val="Hipercze"/>
                  <w:rFonts w:ascii="Times New Roman" w:hAnsi="Times New Roman" w:cs="Times New Roman"/>
                </w:rPr>
                <w:t>www.gpwbenchmark.pl/</w:t>
              </w:r>
            </w:hyperlink>
            <w:r w:rsidRPr="0050664E">
              <w:rPr>
                <w:rStyle w:val="Hipercze"/>
              </w:rPr>
              <w:t>.</w:t>
            </w:r>
          </w:p>
        </w:tc>
      </w:tr>
    </w:tbl>
    <w:p w14:paraId="0789B5D1" w14:textId="77777777" w:rsidR="000701E4" w:rsidRPr="00047D62" w:rsidRDefault="000701E4" w:rsidP="000701E4">
      <w:pPr>
        <w:tabs>
          <w:tab w:val="left" w:pos="964"/>
          <w:tab w:val="left" w:pos="1304"/>
          <w:tab w:val="left" w:pos="1644"/>
          <w:tab w:val="left" w:pos="1985"/>
          <w:tab w:val="left" w:pos="2325"/>
        </w:tabs>
        <w:spacing w:after="0" w:line="240" w:lineRule="auto"/>
        <w:jc w:val="both"/>
        <w:rPr>
          <w:rFonts w:cs="Calibri"/>
        </w:rPr>
      </w:pPr>
    </w:p>
    <w:p w14:paraId="4910D5E9" w14:textId="77777777" w:rsidR="000701E4" w:rsidRPr="00047D62" w:rsidRDefault="000701E4" w:rsidP="000701E4">
      <w:pPr>
        <w:tabs>
          <w:tab w:val="left" w:pos="964"/>
          <w:tab w:val="left" w:pos="1304"/>
          <w:tab w:val="left" w:pos="1644"/>
          <w:tab w:val="left" w:pos="1985"/>
          <w:tab w:val="left" w:pos="2325"/>
        </w:tabs>
        <w:spacing w:after="0" w:line="240" w:lineRule="auto"/>
        <w:jc w:val="both"/>
        <w:rPr>
          <w:rFonts w:cs="Calibri"/>
        </w:rPr>
      </w:pPr>
    </w:p>
    <w:tbl>
      <w:tblPr>
        <w:tblStyle w:val="Tabela-Siatka1"/>
        <w:tblW w:w="9063" w:type="dxa"/>
        <w:tblLook w:val="04A0" w:firstRow="1" w:lastRow="0" w:firstColumn="1" w:lastColumn="0" w:noHBand="0" w:noVBand="1"/>
      </w:tblPr>
      <w:tblGrid>
        <w:gridCol w:w="6226"/>
        <w:gridCol w:w="1708"/>
        <w:gridCol w:w="1129"/>
      </w:tblGrid>
      <w:tr w:rsidR="000701E4" w:rsidRPr="00C06A84" w14:paraId="641B6D95" w14:textId="77777777" w:rsidTr="006156BD">
        <w:tc>
          <w:tcPr>
            <w:tcW w:w="7934" w:type="dxa"/>
            <w:gridSpan w:val="2"/>
            <w:tcBorders>
              <w:top w:val="single" w:sz="4" w:space="0" w:color="auto"/>
            </w:tcBorders>
          </w:tcPr>
          <w:p w14:paraId="25EB3452" w14:textId="77777777" w:rsidR="000701E4" w:rsidRPr="00C06A84" w:rsidRDefault="000701E4" w:rsidP="006156BD">
            <w:pPr>
              <w:spacing w:line="360" w:lineRule="auto"/>
              <w:jc w:val="both"/>
              <w:rPr>
                <w:rFonts w:cs="Calibri"/>
                <w:b/>
              </w:rPr>
            </w:pPr>
            <w:r w:rsidRPr="0050664E">
              <w:rPr>
                <w:rFonts w:ascii="Times New Roman" w:hAnsi="Times New Roman" w:cs="Times New Roman"/>
                <w:b/>
                <w:bCs/>
                <w:sz w:val="24"/>
                <w:szCs w:val="24"/>
                <w:lang w:eastAsia="pl-PL"/>
              </w:rPr>
              <w:t>Kody ISIN POLSTR i POLSTR Stopa Składana</w:t>
            </w:r>
          </w:p>
        </w:tc>
        <w:tc>
          <w:tcPr>
            <w:tcW w:w="1129" w:type="dxa"/>
            <w:tcBorders>
              <w:top w:val="single" w:sz="4" w:space="0" w:color="auto"/>
              <w:bottom w:val="nil"/>
            </w:tcBorders>
          </w:tcPr>
          <w:p w14:paraId="4B42FE1D" w14:textId="77777777" w:rsidR="000701E4" w:rsidRPr="00C06A84" w:rsidRDefault="000701E4" w:rsidP="006156BD">
            <w:pPr>
              <w:tabs>
                <w:tab w:val="left" w:pos="964"/>
                <w:tab w:val="left" w:pos="1304"/>
                <w:tab w:val="left" w:pos="1644"/>
                <w:tab w:val="left" w:pos="1985"/>
                <w:tab w:val="left" w:pos="2325"/>
              </w:tabs>
              <w:spacing w:line="360" w:lineRule="auto"/>
              <w:jc w:val="both"/>
              <w:rPr>
                <w:rFonts w:cs="Calibri"/>
                <w:b/>
              </w:rPr>
            </w:pPr>
          </w:p>
        </w:tc>
      </w:tr>
      <w:tr w:rsidR="000701E4" w:rsidRPr="00C06A84" w14:paraId="2EEB435B" w14:textId="77777777" w:rsidTr="006156BD">
        <w:tc>
          <w:tcPr>
            <w:tcW w:w="6226" w:type="dxa"/>
            <w:vAlign w:val="center"/>
          </w:tcPr>
          <w:p w14:paraId="0B47DF2C" w14:textId="77777777" w:rsidR="000701E4" w:rsidRPr="00047D62"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val="en-US" w:eastAsia="pl-PL"/>
              </w:rPr>
            </w:pPr>
            <w:r w:rsidRPr="00047D62">
              <w:rPr>
                <w:rFonts w:ascii="Times New Roman" w:hAnsi="Times New Roman" w:cs="Times New Roman"/>
                <w:sz w:val="24"/>
                <w:szCs w:val="24"/>
                <w:lang w:val="en-US" w:eastAsia="pl-PL"/>
              </w:rPr>
              <w:t>POLSTR</w:t>
            </w:r>
          </w:p>
          <w:p w14:paraId="5F495FFE" w14:textId="77777777" w:rsidR="000701E4" w:rsidRPr="00047D62"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val="en-US" w:eastAsia="pl-PL"/>
              </w:rPr>
            </w:pPr>
            <w:r w:rsidRPr="00047D62">
              <w:rPr>
                <w:rFonts w:ascii="Times New Roman" w:hAnsi="Times New Roman" w:cs="Times New Roman"/>
                <w:sz w:val="24"/>
                <w:szCs w:val="24"/>
                <w:lang w:val="en-US" w:eastAsia="pl-PL"/>
              </w:rPr>
              <w:t>Polish Short Term Rate</w:t>
            </w:r>
          </w:p>
        </w:tc>
        <w:tc>
          <w:tcPr>
            <w:tcW w:w="1708" w:type="dxa"/>
            <w:vAlign w:val="center"/>
          </w:tcPr>
          <w:p w14:paraId="1CF47847"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PL9999996421</w:t>
            </w:r>
          </w:p>
        </w:tc>
        <w:tc>
          <w:tcPr>
            <w:tcW w:w="1129" w:type="dxa"/>
            <w:tcBorders>
              <w:top w:val="nil"/>
              <w:bottom w:val="nil"/>
            </w:tcBorders>
          </w:tcPr>
          <w:p w14:paraId="69B70FEF" w14:textId="77777777" w:rsidR="000701E4" w:rsidRPr="00C06A84" w:rsidRDefault="000701E4" w:rsidP="006156BD">
            <w:pPr>
              <w:tabs>
                <w:tab w:val="left" w:pos="964"/>
                <w:tab w:val="left" w:pos="1304"/>
                <w:tab w:val="left" w:pos="1644"/>
                <w:tab w:val="left" w:pos="1985"/>
                <w:tab w:val="left" w:pos="2325"/>
              </w:tabs>
              <w:spacing w:line="360" w:lineRule="auto"/>
              <w:jc w:val="both"/>
              <w:rPr>
                <w:rFonts w:eastAsia="Times New Roman" w:cs="Calibri"/>
                <w:b/>
                <w:bCs/>
                <w:iCs/>
                <w:kern w:val="20"/>
                <w:lang w:eastAsia="pl-PL"/>
              </w:rPr>
            </w:pPr>
          </w:p>
        </w:tc>
      </w:tr>
      <w:tr w:rsidR="000701E4" w:rsidRPr="00C06A84" w14:paraId="0B48B955" w14:textId="77777777" w:rsidTr="006156BD">
        <w:tc>
          <w:tcPr>
            <w:tcW w:w="6226" w:type="dxa"/>
            <w:vAlign w:val="center"/>
          </w:tcPr>
          <w:p w14:paraId="1283B362"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lastRenderedPageBreak/>
              <w:t>POLSTR 1M Stopa Składana</w:t>
            </w:r>
          </w:p>
          <w:p w14:paraId="6185685A"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indeks na termin predefiniowany 1M oparty o POLSTR</w:t>
            </w:r>
          </w:p>
        </w:tc>
        <w:tc>
          <w:tcPr>
            <w:tcW w:w="1708" w:type="dxa"/>
            <w:vAlign w:val="center"/>
          </w:tcPr>
          <w:p w14:paraId="560135E9"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PL9999996413</w:t>
            </w:r>
          </w:p>
        </w:tc>
        <w:tc>
          <w:tcPr>
            <w:tcW w:w="1129" w:type="dxa"/>
            <w:tcBorders>
              <w:top w:val="nil"/>
              <w:bottom w:val="nil"/>
            </w:tcBorders>
          </w:tcPr>
          <w:p w14:paraId="077E1718" w14:textId="77777777" w:rsidR="000701E4" w:rsidRPr="00C06A84" w:rsidRDefault="000701E4" w:rsidP="006156BD">
            <w:pPr>
              <w:tabs>
                <w:tab w:val="left" w:pos="964"/>
                <w:tab w:val="left" w:pos="1304"/>
                <w:tab w:val="left" w:pos="1644"/>
                <w:tab w:val="left" w:pos="1985"/>
                <w:tab w:val="left" w:pos="2325"/>
              </w:tabs>
              <w:spacing w:line="360" w:lineRule="auto"/>
              <w:jc w:val="both"/>
              <w:rPr>
                <w:rFonts w:eastAsia="Times New Roman" w:cs="Calibri"/>
                <w:b/>
                <w:bCs/>
                <w:iCs/>
                <w:kern w:val="20"/>
                <w:lang w:eastAsia="pl-PL"/>
              </w:rPr>
            </w:pPr>
          </w:p>
        </w:tc>
      </w:tr>
      <w:tr w:rsidR="000701E4" w:rsidRPr="00C06A84" w14:paraId="5F551F8B" w14:textId="77777777" w:rsidTr="006156BD">
        <w:tc>
          <w:tcPr>
            <w:tcW w:w="6226" w:type="dxa"/>
            <w:vAlign w:val="center"/>
          </w:tcPr>
          <w:p w14:paraId="7FFA9B89"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POLSTR 3M Stopa Składana</w:t>
            </w:r>
          </w:p>
          <w:p w14:paraId="4C2DD6AC"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indeks na termin predefiniowany 3M oparty o POLSTR</w:t>
            </w:r>
          </w:p>
        </w:tc>
        <w:tc>
          <w:tcPr>
            <w:tcW w:w="1708" w:type="dxa"/>
            <w:vAlign w:val="center"/>
          </w:tcPr>
          <w:p w14:paraId="159160B9"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PL9999996405</w:t>
            </w:r>
          </w:p>
        </w:tc>
        <w:tc>
          <w:tcPr>
            <w:tcW w:w="1129" w:type="dxa"/>
            <w:tcBorders>
              <w:top w:val="nil"/>
              <w:bottom w:val="nil"/>
            </w:tcBorders>
          </w:tcPr>
          <w:p w14:paraId="053863B1" w14:textId="77777777" w:rsidR="000701E4" w:rsidRPr="00C06A84" w:rsidRDefault="000701E4" w:rsidP="006156BD">
            <w:pPr>
              <w:tabs>
                <w:tab w:val="left" w:pos="964"/>
                <w:tab w:val="left" w:pos="1304"/>
                <w:tab w:val="left" w:pos="1644"/>
                <w:tab w:val="left" w:pos="1985"/>
                <w:tab w:val="left" w:pos="2325"/>
              </w:tabs>
              <w:spacing w:line="360" w:lineRule="auto"/>
              <w:jc w:val="both"/>
              <w:rPr>
                <w:rFonts w:eastAsia="Times New Roman" w:cs="Calibri"/>
                <w:b/>
                <w:bCs/>
                <w:iCs/>
                <w:kern w:val="20"/>
                <w:lang w:eastAsia="pl-PL"/>
              </w:rPr>
            </w:pPr>
          </w:p>
        </w:tc>
      </w:tr>
      <w:tr w:rsidR="000701E4" w:rsidRPr="00C06A84" w14:paraId="516E24C1" w14:textId="77777777" w:rsidTr="006156BD">
        <w:tc>
          <w:tcPr>
            <w:tcW w:w="6226" w:type="dxa"/>
            <w:vAlign w:val="center"/>
          </w:tcPr>
          <w:p w14:paraId="5FA7F1B5"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POLSTR 6M Stopa Składana</w:t>
            </w:r>
          </w:p>
          <w:p w14:paraId="48F0A144"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indeks na termin predefiniowany 6M oparty o POLSTR</w:t>
            </w:r>
          </w:p>
        </w:tc>
        <w:tc>
          <w:tcPr>
            <w:tcW w:w="1708" w:type="dxa"/>
            <w:vAlign w:val="center"/>
          </w:tcPr>
          <w:p w14:paraId="526798DA"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PL9999996397</w:t>
            </w:r>
          </w:p>
        </w:tc>
        <w:tc>
          <w:tcPr>
            <w:tcW w:w="1129" w:type="dxa"/>
            <w:tcBorders>
              <w:top w:val="nil"/>
              <w:bottom w:val="nil"/>
            </w:tcBorders>
          </w:tcPr>
          <w:p w14:paraId="6B5FB34B" w14:textId="77777777" w:rsidR="000701E4" w:rsidRPr="00C06A84" w:rsidRDefault="000701E4" w:rsidP="006156BD">
            <w:pPr>
              <w:tabs>
                <w:tab w:val="left" w:pos="964"/>
                <w:tab w:val="left" w:pos="1304"/>
                <w:tab w:val="left" w:pos="1644"/>
                <w:tab w:val="left" w:pos="1985"/>
                <w:tab w:val="left" w:pos="2325"/>
              </w:tabs>
              <w:spacing w:line="360" w:lineRule="auto"/>
              <w:jc w:val="both"/>
              <w:rPr>
                <w:rFonts w:eastAsia="Times New Roman" w:cs="Calibri"/>
                <w:b/>
                <w:bCs/>
                <w:iCs/>
                <w:kern w:val="20"/>
                <w:lang w:eastAsia="pl-PL"/>
              </w:rPr>
            </w:pPr>
          </w:p>
        </w:tc>
      </w:tr>
      <w:tr w:rsidR="000701E4" w:rsidRPr="00C06A84" w14:paraId="52E73A0B" w14:textId="77777777" w:rsidTr="006156BD">
        <w:tc>
          <w:tcPr>
            <w:tcW w:w="6226" w:type="dxa"/>
            <w:vAlign w:val="center"/>
          </w:tcPr>
          <w:p w14:paraId="0984D828"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POLSTR CI</w:t>
            </w:r>
          </w:p>
          <w:p w14:paraId="48653A6B"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POLSTR Indeks Jednopodstawowy  o dacie bazowej 4 stycznia 2021 r.</w:t>
            </w:r>
          </w:p>
        </w:tc>
        <w:tc>
          <w:tcPr>
            <w:tcW w:w="1708" w:type="dxa"/>
            <w:vAlign w:val="center"/>
          </w:tcPr>
          <w:p w14:paraId="6E7EE413"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PL9999996389</w:t>
            </w:r>
          </w:p>
        </w:tc>
        <w:tc>
          <w:tcPr>
            <w:tcW w:w="1129" w:type="dxa"/>
            <w:tcBorders>
              <w:top w:val="nil"/>
              <w:bottom w:val="nil"/>
            </w:tcBorders>
          </w:tcPr>
          <w:p w14:paraId="15009881" w14:textId="77777777" w:rsidR="000701E4" w:rsidRPr="00C06A84" w:rsidRDefault="000701E4" w:rsidP="006156BD">
            <w:pPr>
              <w:tabs>
                <w:tab w:val="left" w:pos="964"/>
                <w:tab w:val="left" w:pos="1304"/>
                <w:tab w:val="left" w:pos="1644"/>
                <w:tab w:val="left" w:pos="1985"/>
                <w:tab w:val="left" w:pos="2325"/>
              </w:tabs>
              <w:spacing w:line="360" w:lineRule="auto"/>
              <w:jc w:val="both"/>
              <w:rPr>
                <w:rFonts w:eastAsia="Times New Roman" w:cs="Calibri"/>
                <w:b/>
                <w:bCs/>
                <w:iCs/>
                <w:kern w:val="20"/>
                <w:lang w:eastAsia="pl-PL"/>
              </w:rPr>
            </w:pPr>
          </w:p>
        </w:tc>
      </w:tr>
      <w:tr w:rsidR="000701E4" w:rsidRPr="00C06A84" w14:paraId="01467569" w14:textId="77777777" w:rsidTr="006156BD">
        <w:tc>
          <w:tcPr>
            <w:tcW w:w="9063" w:type="dxa"/>
            <w:gridSpan w:val="3"/>
            <w:tcBorders>
              <w:bottom w:val="single" w:sz="4" w:space="0" w:color="auto"/>
            </w:tcBorders>
          </w:tcPr>
          <w:p w14:paraId="0BAAA625" w14:textId="77777777" w:rsidR="000701E4" w:rsidRPr="0050664E" w:rsidRDefault="000701E4" w:rsidP="006156BD">
            <w:pPr>
              <w:tabs>
                <w:tab w:val="left" w:pos="964"/>
                <w:tab w:val="left" w:pos="1304"/>
                <w:tab w:val="left" w:pos="1644"/>
                <w:tab w:val="left" w:pos="1985"/>
                <w:tab w:val="left" w:pos="2325"/>
              </w:tabs>
              <w:spacing w:line="360" w:lineRule="auto"/>
              <w:jc w:val="both"/>
              <w:rPr>
                <w:rFonts w:ascii="Times New Roman" w:hAnsi="Times New Roman" w:cs="Times New Roman"/>
                <w:b/>
                <w:sz w:val="24"/>
                <w:szCs w:val="24"/>
              </w:rPr>
            </w:pPr>
            <w:r w:rsidRPr="0050664E">
              <w:rPr>
                <w:rFonts w:ascii="Times New Roman" w:hAnsi="Times New Roman" w:cs="Times New Roman"/>
                <w:b/>
                <w:sz w:val="24"/>
                <w:szCs w:val="24"/>
              </w:rPr>
              <w:t>Nazwa oraz dane adresowe administratora POLSTR i POLSTR Stopa Składana</w:t>
            </w:r>
          </w:p>
          <w:p w14:paraId="2CB48D5E"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 xml:space="preserve">Administratorem </w:t>
            </w:r>
            <w:r>
              <w:rPr>
                <w:rFonts w:ascii="Times New Roman" w:hAnsi="Times New Roman" w:cs="Times New Roman"/>
                <w:sz w:val="24"/>
                <w:szCs w:val="24"/>
                <w:lang w:eastAsia="pl-PL"/>
              </w:rPr>
              <w:t>POLSTR</w:t>
            </w:r>
            <w:r w:rsidRPr="0050664E">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i POLSTR</w:t>
            </w:r>
            <w:r w:rsidRPr="0050664E">
              <w:rPr>
                <w:rFonts w:ascii="Times New Roman" w:hAnsi="Times New Roman" w:cs="Times New Roman"/>
                <w:sz w:val="24"/>
                <w:szCs w:val="24"/>
                <w:lang w:eastAsia="pl-PL"/>
              </w:rPr>
              <w:t xml:space="preserve"> Stopa Składana jest GPW Benchmark S.A.</w:t>
            </w:r>
          </w:p>
          <w:p w14:paraId="25A02445" w14:textId="77777777" w:rsidR="000701E4" w:rsidRPr="0050664E" w:rsidRDefault="000701E4" w:rsidP="006156BD">
            <w:pPr>
              <w:tabs>
                <w:tab w:val="left" w:pos="964"/>
                <w:tab w:val="left" w:pos="1304"/>
                <w:tab w:val="left" w:pos="1644"/>
                <w:tab w:val="left" w:pos="1985"/>
                <w:tab w:val="left" w:pos="2325"/>
              </w:tabs>
              <w:jc w:val="both"/>
              <w:rPr>
                <w:rFonts w:ascii="Times New Roman" w:hAnsi="Times New Roman" w:cs="Times New Roman"/>
                <w:sz w:val="24"/>
                <w:szCs w:val="24"/>
                <w:lang w:eastAsia="pl-PL"/>
              </w:rPr>
            </w:pPr>
            <w:r w:rsidRPr="0050664E">
              <w:rPr>
                <w:rFonts w:ascii="Times New Roman" w:hAnsi="Times New Roman" w:cs="Times New Roman"/>
                <w:sz w:val="24"/>
                <w:szCs w:val="24"/>
                <w:lang w:eastAsia="pl-PL"/>
              </w:rPr>
              <w:t>ul. Książęca 4, 00-498 Warszawa</w:t>
            </w:r>
          </w:p>
          <w:p w14:paraId="0B9C2BBC" w14:textId="77777777" w:rsidR="000701E4" w:rsidRPr="00C06A84" w:rsidRDefault="000701E4" w:rsidP="006156BD">
            <w:pPr>
              <w:tabs>
                <w:tab w:val="left" w:pos="964"/>
                <w:tab w:val="left" w:pos="1304"/>
                <w:tab w:val="left" w:pos="1644"/>
                <w:tab w:val="left" w:pos="1985"/>
                <w:tab w:val="left" w:pos="2325"/>
              </w:tabs>
              <w:spacing w:line="360" w:lineRule="auto"/>
              <w:jc w:val="both"/>
              <w:rPr>
                <w:rFonts w:cs="Calibri"/>
                <w:lang w:eastAsia="pl-PL"/>
              </w:rPr>
            </w:pPr>
            <w:r w:rsidRPr="0050664E">
              <w:rPr>
                <w:rFonts w:ascii="Times New Roman" w:hAnsi="Times New Roman" w:cs="Times New Roman"/>
                <w:sz w:val="24"/>
                <w:szCs w:val="24"/>
                <w:lang w:eastAsia="pl-PL"/>
              </w:rPr>
              <w:t>Tel. 22 628 32 32, Email</w:t>
            </w:r>
            <w:r w:rsidRPr="00C06A84">
              <w:rPr>
                <w:rFonts w:cs="Calibri"/>
              </w:rPr>
              <w:t xml:space="preserve">: </w:t>
            </w:r>
            <w:hyperlink r:id="rId10" w:history="1">
              <w:r w:rsidRPr="00C06A84">
                <w:rPr>
                  <w:rStyle w:val="Hipercze"/>
                  <w:rFonts w:cs="Calibri"/>
                </w:rPr>
                <w:t>kontakt@gpwbenchmark.pl</w:t>
              </w:r>
            </w:hyperlink>
          </w:p>
        </w:tc>
      </w:tr>
    </w:tbl>
    <w:p w14:paraId="0712F3C5" w14:textId="77777777" w:rsidR="000701E4" w:rsidRPr="00047D62" w:rsidRDefault="000701E4" w:rsidP="000701E4">
      <w:pPr>
        <w:tabs>
          <w:tab w:val="left" w:pos="964"/>
          <w:tab w:val="left" w:pos="1304"/>
          <w:tab w:val="left" w:pos="1644"/>
          <w:tab w:val="left" w:pos="1985"/>
          <w:tab w:val="left" w:pos="2325"/>
        </w:tabs>
        <w:spacing w:after="0" w:line="240" w:lineRule="auto"/>
        <w:jc w:val="both"/>
        <w:rPr>
          <w:rFonts w:cs="Calibri"/>
        </w:rPr>
      </w:pPr>
    </w:p>
    <w:p w14:paraId="7D1E9000" w14:textId="77777777" w:rsidR="000701E4" w:rsidRPr="00047D62" w:rsidRDefault="000701E4" w:rsidP="000701E4">
      <w:pPr>
        <w:tabs>
          <w:tab w:val="left" w:pos="964"/>
          <w:tab w:val="left" w:pos="1304"/>
          <w:tab w:val="left" w:pos="1644"/>
          <w:tab w:val="left" w:pos="1985"/>
          <w:tab w:val="left" w:pos="2325"/>
        </w:tabs>
        <w:spacing w:after="0" w:line="240" w:lineRule="auto"/>
        <w:jc w:val="both"/>
        <w:rPr>
          <w:rFonts w:cs="Calibri"/>
        </w:rPr>
      </w:pPr>
    </w:p>
    <w:p w14:paraId="188747A0" w14:textId="77777777" w:rsidR="000701E4" w:rsidRPr="00F14DFD" w:rsidRDefault="000701E4" w:rsidP="000701E4">
      <w:pPr>
        <w:tabs>
          <w:tab w:val="left" w:pos="964"/>
          <w:tab w:val="left" w:pos="1304"/>
          <w:tab w:val="left" w:pos="1644"/>
          <w:tab w:val="left" w:pos="1985"/>
          <w:tab w:val="left" w:pos="2325"/>
        </w:tabs>
        <w:spacing w:before="120" w:after="0" w:line="240" w:lineRule="auto"/>
        <w:jc w:val="both"/>
        <w:rPr>
          <w:rFonts w:ascii="Times New Roman" w:eastAsia="Calibri" w:hAnsi="Times New Roman" w:cs="Times New Roman"/>
          <w:sz w:val="24"/>
          <w:szCs w:val="24"/>
        </w:rPr>
      </w:pPr>
      <w:r w:rsidRPr="00F14DFD">
        <w:rPr>
          <w:rFonts w:ascii="Times New Roman" w:eastAsia="Calibri" w:hAnsi="Times New Roman" w:cs="Times New Roman"/>
          <w:sz w:val="24"/>
          <w:szCs w:val="24"/>
        </w:rPr>
        <w:t xml:space="preserve">Informacje przedstawione w niniejszym dokumencie </w:t>
      </w:r>
      <w:r>
        <w:rPr>
          <w:rFonts w:ascii="Times New Roman" w:eastAsia="Calibri" w:hAnsi="Times New Roman" w:cs="Times New Roman"/>
          <w:sz w:val="24"/>
          <w:szCs w:val="24"/>
        </w:rPr>
        <w:t xml:space="preserve">mają </w:t>
      </w:r>
      <w:r w:rsidRPr="00F14DFD">
        <w:rPr>
          <w:rFonts w:ascii="Times New Roman" w:eastAsia="Calibri" w:hAnsi="Times New Roman" w:cs="Times New Roman"/>
          <w:sz w:val="24"/>
          <w:szCs w:val="24"/>
        </w:rPr>
        <w:t xml:space="preserve">charakter ogólny. Klienci i kontrahenci Banku, którzy zawarli (lub mogą w przyszłości zawrzeć) </w:t>
      </w:r>
      <w:r>
        <w:rPr>
          <w:rFonts w:ascii="Times New Roman" w:eastAsia="Calibri" w:hAnsi="Times New Roman" w:cs="Times New Roman"/>
          <w:sz w:val="24"/>
          <w:szCs w:val="24"/>
        </w:rPr>
        <w:t xml:space="preserve">umowę z Bankiem </w:t>
      </w:r>
      <w:r w:rsidRPr="00F14DFD">
        <w:rPr>
          <w:rFonts w:ascii="Times New Roman" w:eastAsia="Calibri" w:hAnsi="Times New Roman" w:cs="Times New Roman"/>
          <w:sz w:val="24"/>
          <w:szCs w:val="24"/>
        </w:rPr>
        <w:t xml:space="preserve">lub nabyli (lub mogą w przyszłości nabyć) instrumenty finansowe, które zawierają odniesienie do wskaźnika referencyjnego, powinni przeprowadzić niezależną analizę ryzyka. Bank nie jest w stanie zapewnić, że </w:t>
      </w:r>
      <w:r>
        <w:rPr>
          <w:rFonts w:ascii="Times New Roman" w:eastAsia="Calibri" w:hAnsi="Times New Roman" w:cs="Times New Roman"/>
          <w:sz w:val="24"/>
          <w:szCs w:val="24"/>
        </w:rPr>
        <w:t xml:space="preserve">powyższe </w:t>
      </w:r>
      <w:r w:rsidRPr="00F14DFD">
        <w:rPr>
          <w:rFonts w:ascii="Times New Roman" w:eastAsia="Calibri" w:hAnsi="Times New Roman" w:cs="Times New Roman"/>
          <w:sz w:val="24"/>
          <w:szCs w:val="24"/>
        </w:rPr>
        <w:t>informacje są wyczerpujące, ani też nie jest w stanie wyrazić poglądu na temat prawdopodobieństwa wystąpienia jakiegokolwiek zdarzenia dotyczącego wskaźnika referencyjnego.</w:t>
      </w:r>
    </w:p>
    <w:p w14:paraId="3B702F3B" w14:textId="77777777" w:rsidR="005B61CC" w:rsidRDefault="005B61CC"/>
    <w:sectPr w:rsidR="005B61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42BB" w14:textId="77777777" w:rsidR="004F064C" w:rsidRDefault="004F064C" w:rsidP="000701E4">
      <w:pPr>
        <w:spacing w:after="0" w:line="240" w:lineRule="auto"/>
      </w:pPr>
      <w:r>
        <w:separator/>
      </w:r>
    </w:p>
  </w:endnote>
  <w:endnote w:type="continuationSeparator" w:id="0">
    <w:p w14:paraId="1C96B721" w14:textId="77777777" w:rsidR="004F064C" w:rsidRDefault="004F064C" w:rsidP="0007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altName w:val="Times New Roman"/>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3651" w14:textId="77777777" w:rsidR="004F064C" w:rsidRDefault="004F064C" w:rsidP="000701E4">
      <w:pPr>
        <w:spacing w:after="0" w:line="240" w:lineRule="auto"/>
      </w:pPr>
      <w:r>
        <w:separator/>
      </w:r>
    </w:p>
  </w:footnote>
  <w:footnote w:type="continuationSeparator" w:id="0">
    <w:p w14:paraId="2F2727EF" w14:textId="77777777" w:rsidR="004F064C" w:rsidRDefault="004F064C" w:rsidP="000701E4">
      <w:pPr>
        <w:spacing w:after="0" w:line="240" w:lineRule="auto"/>
      </w:pPr>
      <w:r>
        <w:continuationSeparator/>
      </w:r>
    </w:p>
  </w:footnote>
  <w:footnote w:id="1">
    <w:p w14:paraId="18D38B7C" w14:textId="77777777" w:rsidR="000701E4" w:rsidRPr="00B013A5" w:rsidRDefault="000701E4" w:rsidP="000701E4">
      <w:pPr>
        <w:pStyle w:val="Tekstprzypisudolnego"/>
        <w:rPr>
          <w:rFonts w:ascii="Times New Roman" w:hAnsi="Times New Roman" w:cs="Times New Roman"/>
          <w:szCs w:val="16"/>
        </w:rPr>
      </w:pPr>
      <w:r>
        <w:rPr>
          <w:rStyle w:val="Odwoanieprzypisudolnego"/>
        </w:rPr>
        <w:footnoteRef/>
      </w:r>
      <w:r>
        <w:t xml:space="preserve"> </w:t>
      </w:r>
      <w:r w:rsidRPr="00B013A5">
        <w:rPr>
          <w:rFonts w:ascii="Times New Roman" w:hAnsi="Times New Roman" w:cs="Times New Roman"/>
          <w:szCs w:val="16"/>
        </w:rPr>
        <w:t>Rozporządzenie Parlamentu Europejskiego i Rady (UE) 2016/1011 w sprawie indeksów stosowanych jako wskaźniki referencyjne w instrumentach finansowych i umowach finansowych lub do pomiaru wyników funduszy inwestycyjnych i zmieniające dyrektywy 2008/48/WE i 2014/17/UE oraz rozporządzenie (UE) nr 596/2014 oraz akty wykonawcze i delegowane do tego rozporządzenia („</w:t>
      </w:r>
      <w:r w:rsidRPr="00B013A5">
        <w:rPr>
          <w:rFonts w:ascii="Times New Roman" w:eastAsia="Calibri" w:hAnsi="Times New Roman" w:cs="Times New Roman"/>
          <w:b/>
          <w:bCs/>
          <w:kern w:val="0"/>
          <w:sz w:val="20"/>
          <w:lang w:eastAsia="en-US"/>
        </w:rPr>
        <w:t>Rozporządzenie BMR</w:t>
      </w:r>
      <w:r w:rsidRPr="00B013A5">
        <w:rPr>
          <w:rFonts w:ascii="Times New Roman" w:hAnsi="Times New Roman" w:cs="Times New Roman"/>
          <w:szCs w:val="16"/>
        </w:rPr>
        <w:t>”).</w:t>
      </w:r>
    </w:p>
  </w:footnote>
  <w:footnote w:id="2">
    <w:p w14:paraId="069ADD08" w14:textId="77777777" w:rsidR="000701E4" w:rsidRDefault="000701E4" w:rsidP="000701E4">
      <w:pPr>
        <w:pStyle w:val="Tekstprzypisudolnego"/>
        <w:rPr>
          <w:rFonts w:ascii="Calibri" w:hAnsi="Calibri" w:cs="Calibri"/>
          <w:szCs w:val="16"/>
        </w:rPr>
      </w:pPr>
      <w:r>
        <w:rPr>
          <w:rStyle w:val="Odwoanieprzypisudolnego"/>
          <w:rFonts w:ascii="Calibri" w:eastAsiaTheme="majorEastAsia" w:hAnsi="Calibri" w:cs="Calibri"/>
          <w:szCs w:val="16"/>
        </w:rPr>
        <w:footnoteRef/>
      </w:r>
      <w:r>
        <w:rPr>
          <w:rFonts w:ascii="Calibri" w:hAnsi="Calibri" w:cs="Calibri"/>
          <w:szCs w:val="16"/>
        </w:rPr>
        <w:t xml:space="preserve"> https://gpwbenchmark.pl/pub/BENCHMARK/files/WIBID_WIBOR/Oswiadczenie2021_1.pdf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25CE1"/>
    <w:multiLevelType w:val="hybridMultilevel"/>
    <w:tmpl w:val="09D47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693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E4"/>
    <w:rsid w:val="000701E4"/>
    <w:rsid w:val="004F064C"/>
    <w:rsid w:val="005B61CC"/>
    <w:rsid w:val="00872A9D"/>
    <w:rsid w:val="00F80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277D"/>
  <w15:chartTrackingRefBased/>
  <w15:docId w15:val="{14E77212-93E6-40A6-ABDC-A9EE22D6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01E4"/>
    <w:rPr>
      <w:rFonts w:ascii="Montserrat" w:hAnsi="Montserrat" w:cs="Arial"/>
      <w:kern w:val="0"/>
      <w:sz w:val="20"/>
      <w:szCs w:val="20"/>
      <w14:ligatures w14:val="none"/>
    </w:rPr>
  </w:style>
  <w:style w:type="paragraph" w:styleId="Nagwek1">
    <w:name w:val="heading 1"/>
    <w:basedOn w:val="Normalny"/>
    <w:next w:val="Normalny"/>
    <w:link w:val="Nagwek1Znak"/>
    <w:uiPriority w:val="9"/>
    <w:qFormat/>
    <w:rsid w:val="00070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070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701E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701E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701E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701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701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701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701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01E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0701E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701E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701E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701E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701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701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701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701E4"/>
    <w:rPr>
      <w:rFonts w:eastAsiaTheme="majorEastAsia" w:cstheme="majorBidi"/>
      <w:color w:val="272727" w:themeColor="text1" w:themeTint="D8"/>
    </w:rPr>
  </w:style>
  <w:style w:type="paragraph" w:styleId="Tytu">
    <w:name w:val="Title"/>
    <w:basedOn w:val="Normalny"/>
    <w:next w:val="Normalny"/>
    <w:link w:val="TytuZnak"/>
    <w:uiPriority w:val="10"/>
    <w:qFormat/>
    <w:rsid w:val="00070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01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701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701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701E4"/>
    <w:pPr>
      <w:spacing w:before="160"/>
      <w:jc w:val="center"/>
    </w:pPr>
    <w:rPr>
      <w:i/>
      <w:iCs/>
      <w:color w:val="404040" w:themeColor="text1" w:themeTint="BF"/>
    </w:rPr>
  </w:style>
  <w:style w:type="character" w:customStyle="1" w:styleId="CytatZnak">
    <w:name w:val="Cytat Znak"/>
    <w:basedOn w:val="Domylnaczcionkaakapitu"/>
    <w:link w:val="Cytat"/>
    <w:uiPriority w:val="29"/>
    <w:rsid w:val="000701E4"/>
    <w:rPr>
      <w:i/>
      <w:iCs/>
      <w:color w:val="404040" w:themeColor="text1" w:themeTint="BF"/>
    </w:rPr>
  </w:style>
  <w:style w:type="paragraph" w:styleId="Akapitzlist">
    <w:name w:val="List Paragraph"/>
    <w:basedOn w:val="Normalny"/>
    <w:link w:val="AkapitzlistZnak"/>
    <w:uiPriority w:val="34"/>
    <w:qFormat/>
    <w:rsid w:val="000701E4"/>
    <w:pPr>
      <w:ind w:left="720"/>
      <w:contextualSpacing/>
    </w:pPr>
  </w:style>
  <w:style w:type="character" w:styleId="Wyrnienieintensywne">
    <w:name w:val="Intense Emphasis"/>
    <w:basedOn w:val="Domylnaczcionkaakapitu"/>
    <w:uiPriority w:val="21"/>
    <w:qFormat/>
    <w:rsid w:val="000701E4"/>
    <w:rPr>
      <w:i/>
      <w:iCs/>
      <w:color w:val="2F5496" w:themeColor="accent1" w:themeShade="BF"/>
    </w:rPr>
  </w:style>
  <w:style w:type="paragraph" w:styleId="Cytatintensywny">
    <w:name w:val="Intense Quote"/>
    <w:basedOn w:val="Normalny"/>
    <w:next w:val="Normalny"/>
    <w:link w:val="CytatintensywnyZnak"/>
    <w:uiPriority w:val="30"/>
    <w:qFormat/>
    <w:rsid w:val="00070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701E4"/>
    <w:rPr>
      <w:i/>
      <w:iCs/>
      <w:color w:val="2F5496" w:themeColor="accent1" w:themeShade="BF"/>
    </w:rPr>
  </w:style>
  <w:style w:type="character" w:styleId="Odwoanieintensywne">
    <w:name w:val="Intense Reference"/>
    <w:basedOn w:val="Domylnaczcionkaakapitu"/>
    <w:uiPriority w:val="32"/>
    <w:qFormat/>
    <w:rsid w:val="000701E4"/>
    <w:rPr>
      <w:b/>
      <w:bCs/>
      <w:smallCaps/>
      <w:color w:val="2F5496" w:themeColor="accent1" w:themeShade="BF"/>
      <w:spacing w:val="5"/>
    </w:rPr>
  </w:style>
  <w:style w:type="table" w:styleId="Tabela-Siatka">
    <w:name w:val="Table Grid"/>
    <w:basedOn w:val="Standardowy"/>
    <w:uiPriority w:val="39"/>
    <w:rsid w:val="000701E4"/>
    <w:pPr>
      <w:spacing w:after="0" w:line="240" w:lineRule="auto"/>
    </w:pPr>
    <w:rPr>
      <w:rFonts w:ascii="Montserrat" w:hAnsi="Montserrat"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fn,FT,ft,SD Footnote Text,Footnote Text AG"/>
    <w:basedOn w:val="Normalny"/>
    <w:link w:val="TekstprzypisudolnegoZnak"/>
    <w:uiPriority w:val="99"/>
    <w:qFormat/>
    <w:rsid w:val="000701E4"/>
    <w:pPr>
      <w:spacing w:after="60" w:line="240" w:lineRule="auto"/>
      <w:jc w:val="both"/>
    </w:pPr>
    <w:rPr>
      <w:rFonts w:ascii="Arial" w:eastAsia="Times New Roman" w:hAnsi="Arial"/>
      <w:kern w:val="20"/>
      <w:sz w:val="16"/>
      <w:lang w:eastAsia="pl-PL"/>
    </w:rPr>
  </w:style>
  <w:style w:type="character" w:customStyle="1" w:styleId="TekstprzypisudolnegoZnak">
    <w:name w:val="Tekst przypisu dolnego Znak"/>
    <w:aliases w:val="fn Znak,FT Znak,ft Znak,SD Footnote Text Znak,Footnote Text AG Znak"/>
    <w:basedOn w:val="Domylnaczcionkaakapitu"/>
    <w:link w:val="Tekstprzypisudolnego"/>
    <w:uiPriority w:val="99"/>
    <w:rsid w:val="000701E4"/>
    <w:rPr>
      <w:rFonts w:ascii="Arial" w:eastAsia="Times New Roman" w:hAnsi="Arial" w:cs="Arial"/>
      <w:kern w:val="20"/>
      <w:sz w:val="16"/>
      <w:szCs w:val="20"/>
      <w:lang w:eastAsia="pl-PL"/>
      <w14:ligatures w14:val="none"/>
    </w:rPr>
  </w:style>
  <w:style w:type="character" w:styleId="Odwoanieprzypisudolnego">
    <w:name w:val="footnote reference"/>
    <w:aliases w:val="fr"/>
    <w:basedOn w:val="Domylnaczcionkaakapitu"/>
    <w:uiPriority w:val="99"/>
    <w:rsid w:val="000701E4"/>
    <w:rPr>
      <w:vertAlign w:val="superscript"/>
    </w:rPr>
  </w:style>
  <w:style w:type="character" w:styleId="Hipercze">
    <w:name w:val="Hyperlink"/>
    <w:basedOn w:val="Domylnaczcionkaakapitu"/>
    <w:uiPriority w:val="99"/>
    <w:unhideWhenUsed/>
    <w:rsid w:val="000701E4"/>
    <w:rPr>
      <w:color w:val="0563C1" w:themeColor="hyperlink"/>
      <w:u w:val="single"/>
    </w:rPr>
  </w:style>
  <w:style w:type="character" w:customStyle="1" w:styleId="AkapitzlistZnak">
    <w:name w:val="Akapit z listą Znak"/>
    <w:link w:val="Akapitzlist"/>
    <w:uiPriority w:val="34"/>
    <w:locked/>
    <w:rsid w:val="000701E4"/>
  </w:style>
  <w:style w:type="table" w:customStyle="1" w:styleId="Tabela-Siatka1">
    <w:name w:val="Tabela - Siatka1"/>
    <w:basedOn w:val="Standardowy"/>
    <w:next w:val="Tabela-Siatka"/>
    <w:uiPriority w:val="39"/>
    <w:rsid w:val="000701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gpwbenchmark.pl" TargetMode="External"/><Relationship Id="rId3" Type="http://schemas.openxmlformats.org/officeDocument/2006/relationships/settings" Target="settings.xml"/><Relationship Id="rId7" Type="http://schemas.openxmlformats.org/officeDocument/2006/relationships/hyperlink" Target="http://www.gpwbenchmar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ontakt@gpwbenchmark.pl" TargetMode="External"/><Relationship Id="rId4" Type="http://schemas.openxmlformats.org/officeDocument/2006/relationships/webSettings" Target="webSettings.xml"/><Relationship Id="rId9" Type="http://schemas.openxmlformats.org/officeDocument/2006/relationships/hyperlink" Target="http://www.gpwbenchmar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16137</Characters>
  <Application>Microsoft Office Word</Application>
  <DocSecurity>0</DocSecurity>
  <Lines>134</Lines>
  <Paragraphs>37</Paragraphs>
  <ScaleCrop>false</ScaleCrop>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s.misiak-janisiak</dc:creator>
  <cp:keywords/>
  <dc:description/>
  <cp:lastModifiedBy>s.misiak-janisiak</cp:lastModifiedBy>
  <cp:revision>1</cp:revision>
  <dcterms:created xsi:type="dcterms:W3CDTF">2026-05-07T12:29:00Z</dcterms:created>
  <dcterms:modified xsi:type="dcterms:W3CDTF">2026-05-07T12:30:00Z</dcterms:modified>
</cp:coreProperties>
</file>